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693420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21"/>
          <w:szCs w:val="21"/>
          <w:color w:val="auto"/>
        </w:rPr>
        <w:t>QUARTERLY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quarterly period ended September 30, 2016</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1661 Worthington Road, Suite 100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West Palm Beach, Florida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b w:val="1"/>
                <w:bCs w:val="1"/>
                <w:color w:val="auto"/>
              </w:rPr>
              <w:t>33409</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5140" w:type="dxa"/>
            <w:vAlign w:val="bottom"/>
          </w:tcPr>
          <w:p>
            <w:pPr>
              <w:spacing w:after="0"/>
              <w:rPr>
                <w:sz w:val="22"/>
                <w:szCs w:val="22"/>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33"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4" w:right="239" w:bottom="1440" w:gutter="0" w:footer="0" w:header="0"/>
        </w:sectPr>
      </w:pPr>
    </w:p>
    <w:p>
      <w:pPr>
        <w:spacing w:after="0" w:line="93" w:lineRule="exact"/>
        <w:rPr>
          <w:sz w:val="24"/>
          <w:szCs w:val="24"/>
          <w:color w:val="auto"/>
        </w:rPr>
      </w:pPr>
    </w:p>
    <w:p>
      <w:pPr>
        <w:ind w:left="3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4" w:lineRule="exact"/>
        <w:rPr>
          <w:sz w:val="24"/>
          <w:szCs w:val="24"/>
          <w:color w:val="auto"/>
        </w:rPr>
      </w:pPr>
    </w:p>
    <w:p>
      <w:pPr>
        <w:sectPr>
          <w:pgSz w:w="11900" w:h="16838" w:orient="portrait"/>
          <w:cols w:equalWidth="0" w:num="4">
            <w:col w:w="2400" w:space="720"/>
            <w:col w:w="4440" w:space="720"/>
            <w:col w:w="2000" w:space="720"/>
            <w:col w:w="420"/>
          </w:cols>
          <w:pgMar w:left="240" w:top="1224"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102" w:lineRule="exact"/>
        <w:rPr>
          <w:sz w:val="24"/>
          <w:szCs w:val="24"/>
          <w:color w:val="auto"/>
        </w:rPr>
      </w:pPr>
    </w:p>
    <w:p>
      <w:pPr>
        <w:sectPr>
          <w:pgSz w:w="11900" w:h="16838" w:orient="portrait"/>
          <w:cols w:equalWidth="0" w:num="5">
            <w:col w:w="2400" w:space="720"/>
            <w:col w:w="100" w:space="360"/>
            <w:col w:w="3980" w:space="720"/>
            <w:col w:w="2000" w:space="720"/>
            <w:col w:w="420"/>
          </w:cols>
          <w:pgMar w:left="240" w:top="1224" w:right="239" w:bottom="1440" w:gutter="0" w:footer="0" w:header="0"/>
          <w:type w:val="continuous"/>
        </w:sectPr>
      </w:pPr>
    </w:p>
    <w:p>
      <w:pPr>
        <w:ind w:right="3200"/>
        <w:spacing w:after="0" w:line="440" w:lineRule="auto"/>
        <w:rPr>
          <w:sz w:val="20"/>
          <w:szCs w:val="20"/>
          <w:color w:val="auto"/>
        </w:rPr>
      </w:pPr>
      <w:r>
        <w:rPr>
          <w:rFonts w:ascii="Arial" w:cs="Arial" w:eastAsia="Arial" w:hAnsi="Arial"/>
          <w:sz w:val="17"/>
          <w:szCs w:val="17"/>
          <w:color w:val="auto"/>
        </w:rPr>
        <w:t>Indicate by check mark whether the registrant is a shell company (as defined in Rule 12b-2 of the Act) Yes o No x Number of shares of common stock outstanding as of October 25, 2016: 123,989,954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4"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2"/>
            <w:vMerge w:val="restart"/>
          </w:tcPr>
          <w:p>
            <w:pPr>
              <w:spacing w:after="0"/>
              <w:rPr>
                <w:sz w:val="20"/>
                <w:szCs w:val="20"/>
                <w:color w:val="auto"/>
              </w:rPr>
            </w:pPr>
            <w:r>
              <w:rPr>
                <w:rFonts w:ascii="Arial" w:cs="Arial" w:eastAsia="Arial" w:hAnsi="Arial"/>
                <w:sz w:val="18"/>
                <w:szCs w:val="18"/>
                <w:b w:val="1"/>
                <w:bCs w:val="1"/>
                <w:color w:val="0000EE"/>
              </w:rPr>
              <w:t xml:space="preserve">PART I </w:t>
            </w:r>
            <w:r>
              <w:rPr>
                <w:rFonts w:ascii="Arial" w:cs="Arial" w:eastAsia="Arial" w:hAnsi="Arial"/>
                <w:sz w:val="18"/>
                <w:szCs w:val="18"/>
                <w:b w:val="1"/>
                <w:bCs w:val="1"/>
                <w:color w:val="000000"/>
              </w:rPr>
              <w:t>- FINANCIAL INFORMATION</w:t>
            </w: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w:t>
            </w:r>
          </w:p>
        </w:tc>
        <w:tc>
          <w:tcPr>
            <w:tcW w:w="9680" w:type="dxa"/>
            <w:vAlign w:val="bottom"/>
          </w:tcPr>
          <w:p>
            <w:pPr>
              <w:ind w:left="140"/>
              <w:spacing w:after="0"/>
              <w:rPr>
                <w:sz w:val="20"/>
                <w:szCs w:val="20"/>
                <w:color w:val="auto"/>
              </w:rPr>
            </w:pPr>
            <w:r>
              <w:rPr>
                <w:rFonts w:ascii="Arial" w:cs="Arial" w:eastAsia="Arial" w:hAnsi="Arial"/>
                <w:sz w:val="18"/>
                <w:szCs w:val="18"/>
                <w:color w:val="auto"/>
              </w:rPr>
              <w:t>Unaudited Consolidated Financial Statements</w:t>
            </w:r>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Balance Sheets at September 30, 2016 and December 31, 2015</w:t>
            </w:r>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Operations for the Three and Nine Months Ended September 30, 2016 and 2015</w:t>
            </w:r>
          </w:p>
        </w:tc>
        <w:tc>
          <w:tcPr>
            <w:tcW w:w="80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8"/>
              </w:rPr>
              <w:t>Consolidated Statements of Comprehensive Income for the Three and Nine Months Ended September 30, 2016 and 2015</w:t>
            </w:r>
          </w:p>
        </w:tc>
        <w:tc>
          <w:tcPr>
            <w:tcW w:w="80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Changes in Equity for the Nine Months Ended September 30, 2016 and 2015</w:t>
            </w:r>
          </w:p>
        </w:tc>
        <w:tc>
          <w:tcPr>
            <w:tcW w:w="80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Cash Flows for the Nine Months Ended September 30, 2016 and 2015</w:t>
            </w:r>
          </w:p>
        </w:tc>
        <w:tc>
          <w:tcPr>
            <w:tcW w:w="800" w:type="dxa"/>
            <w:vAlign w:val="bottom"/>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Notes to Unaudited Consolidated Financial Statements</w:t>
            </w:r>
          </w:p>
        </w:tc>
        <w:tc>
          <w:tcPr>
            <w:tcW w:w="800" w:type="dxa"/>
            <w:vAlign w:val="bottom"/>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2.</w:t>
              </w:r>
            </w:hyperlink>
          </w:p>
        </w:tc>
        <w:tc>
          <w:tcPr>
            <w:tcW w:w="968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3.</w:t>
            </w:r>
          </w:p>
        </w:tc>
        <w:tc>
          <w:tcPr>
            <w:tcW w:w="968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4.</w:t>
            </w:r>
          </w:p>
        </w:tc>
        <w:tc>
          <w:tcPr>
            <w:tcW w:w="968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540"/>
        </w:trPr>
        <w:tc>
          <w:tcPr>
            <w:tcW w:w="10580" w:type="dxa"/>
            <w:vAlign w:val="bottom"/>
            <w:gridSpan w:val="2"/>
          </w:tcPr>
          <w:p>
            <w:pPr>
              <w:spacing w:after="0"/>
              <w:rPr>
                <w:sz w:val="20"/>
                <w:szCs w:val="20"/>
                <w:color w:val="auto"/>
              </w:rPr>
            </w:pPr>
            <w:r>
              <w:rPr>
                <w:rFonts w:ascii="Arial" w:cs="Arial" w:eastAsia="Arial" w:hAnsi="Arial"/>
                <w:sz w:val="18"/>
                <w:szCs w:val="18"/>
                <w:b w:val="1"/>
                <w:bCs w:val="1"/>
                <w:color w:val="0000EE"/>
              </w:rPr>
              <w:t xml:space="preserve">PART II </w:t>
            </w:r>
            <w:r>
              <w:rPr>
                <w:rFonts w:ascii="Arial" w:cs="Arial" w:eastAsia="Arial" w:hAnsi="Arial"/>
                <w:sz w:val="18"/>
                <w:szCs w:val="18"/>
                <w:b w:val="1"/>
                <w:bCs w:val="1"/>
                <w:color w:val="000000"/>
              </w:rPr>
              <w:t>-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w:t>
            </w:r>
          </w:p>
        </w:tc>
        <w:tc>
          <w:tcPr>
            <w:tcW w:w="968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1A.</w:t>
            </w:r>
          </w:p>
        </w:tc>
        <w:tc>
          <w:tcPr>
            <w:tcW w:w="968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8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6.</w:t>
              </w:r>
            </w:hyperlink>
          </w:p>
        </w:tc>
        <w:tc>
          <w:tcPr>
            <w:tcW w:w="9680" w:type="dxa"/>
            <w:vAlign w:val="bottom"/>
          </w:tcPr>
          <w:p>
            <w:pPr>
              <w:ind w:left="140"/>
              <w:spacing w:after="0"/>
              <w:rPr>
                <w:sz w:val="20"/>
                <w:szCs w:val="20"/>
                <w:color w:val="auto"/>
              </w:rPr>
            </w:pPr>
            <w:r>
              <w:rPr>
                <w:rFonts w:ascii="Arial" w:cs="Arial" w:eastAsia="Arial" w:hAnsi="Arial"/>
                <w:sz w:val="18"/>
                <w:szCs w:val="18"/>
                <w:color w:val="auto"/>
              </w:rPr>
              <w:t>Exhibits</w:t>
            </w:r>
          </w:p>
        </w:tc>
        <w:tc>
          <w:tcPr>
            <w:tcW w:w="8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Readers should bear these factors in mind when considering such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in “Risk Factors” in this Quarterly Report on Form 10-Q and in our Annual Report on Form 10-K for the year ended December 31, 2015 and the following:</w:t>
      </w:r>
    </w:p>
    <w:p>
      <w:pPr>
        <w:spacing w:after="0" w:line="74" w:lineRule="exact"/>
        <w:rPr>
          <w:sz w:val="20"/>
          <w:szCs w:val="20"/>
          <w:color w:val="auto"/>
        </w:rPr>
      </w:pPr>
    </w:p>
    <w:p>
      <w:pPr>
        <w:ind w:left="660" w:right="140" w:hanging="328"/>
        <w:spacing w:after="0" w:line="28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claims, litigation and investigations brought by government agencies and private parties regarding our servicing, foreclosure, modification, origination and other practices, including uncertainty related to past, present or future investigations and settlements with state regulators, the Consumer Financial Protection Bureau (CFPB), State Attorneys General, the Securities and Exchange Commission (SEC), the Department of Justice or the Department of Housing and Urban Development (HUD) and actions brought under the False Claims Act by private parties on behalf of the United States of America regarding incentive and other payments made by governmental entities;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as a result of regulatory investigations or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reactions to the announcement of such investigations or settlements by key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advances, repay borrowings and comply with our debt agreements, including the financial and other covenants contained in them;</w:t>
      </w: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prior or future downgrades of our servicer and credit ratings;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 including our ability to successfully execute on our cost improvement initiative;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New Residential Investment Corp. (NRZ) for a substantial portion of our advance funding for non-Agency mortgage servicing rights;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long-term relationship with NRZ;</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actions of loan owners and guarantors, including mortgage-backed securities investors, the Government National Mortgage Association (Ginnie Mae), trustees and government sponsored entities (GSEs), regarding loan put-backs, penalties and legal actions;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seller/servicer agreements with GSEs and maintain our status as an approved seller/servicer;</w:t>
      </w:r>
    </w:p>
    <w:p>
      <w:pPr>
        <w:ind w:left="660" w:right="100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the GSEs substantially curtailing or ceasing to purchase our conforming loan originations or the Federal Housing Administration of the Department of Housing or Department of Veterans Affairs ceasing to provide insurance;</w:t>
      </w:r>
    </w:p>
    <w:p>
      <w:pPr>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with respect to the Home Affordable Modification Program (HAMP) and the Home Affordable Refinance Program (HARP), which have been significant drivers of our servicing and origination revenue and which are scheduled to expire on December 31, 2016 and September 30, 2017, respectively, unless extended;</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688" w:right="279" w:bottom="1440" w:gutter="0" w:footer="0" w:header="0"/>
        </w:sectPr>
      </w:pPr>
    </w:p>
    <w:bookmarkStart w:id="3" w:name="page4"/>
    <w:bookmarkEnd w:id="3"/>
    <w:p>
      <w:pPr>
        <w:ind w:left="660" w:right="1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right="2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ability to adapt and grow our business, including our new business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and maintain our technology systems and our ability to adapt such systems for future operating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internal information technology and other security measures or breach of our privacy protections;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 including our Annual Report on Form 10-K for the year ended December 31, 2015 and our Quarterly and Current Reports on Form 10-Q and Form 8-K, respectively, since such date. Forward-looking statements speak only as of the date they were made and we disclaim any obligation to update or revise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263,534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257,272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($696,108 and $761,190 carried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1,036,669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1,138,569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289,014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444,298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advances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1,534,322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1,706,768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Loans held for sale ($302,114 and $309,054 carried at fair value)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339,765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414,046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 Reverse mortgages,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3,339,641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279,883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286,981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Premises and equipment, net</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62,701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57,626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 ($20,660 and $14,352 carried at fair value)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439,921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586,495</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7,585,450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2"/>
        </w:trPr>
        <w:tc>
          <w:tcPr>
            <w:tcW w:w="8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liabilities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1,365,532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1,584,049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Financing liabilities ($3,719,142 and $2,933,066 carried at fair value)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3,828,019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3,089,255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secured borrowings, net</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663,170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762,411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unsecured notes,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346,511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345,511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718,831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744,444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6,922,063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6,525,670</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29"/>
        </w:trPr>
        <w:tc>
          <w:tcPr>
            <w:tcW w:w="83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3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300" w:type="dxa"/>
            <w:vAlign w:val="bottom"/>
            <w:shd w:val="clear" w:color="auto" w:fill="EAF9E8"/>
          </w:tcPr>
          <w:p>
            <w:pPr>
              <w:spacing w:after="0"/>
              <w:rPr>
                <w:sz w:val="11"/>
                <w:szCs w:val="1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 (Notes 18 and 19)</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35"/>
        </w:trPr>
        <w:tc>
          <w:tcPr>
            <w:tcW w:w="83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3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300" w:type="dxa"/>
            <w:vAlign w:val="bottom"/>
            <w:shd w:val="clear" w:color="auto" w:fill="EAF9E8"/>
          </w:tcPr>
          <w:p>
            <w:pPr>
              <w:spacing w:after="0"/>
              <w:rPr>
                <w:sz w:val="11"/>
                <w:szCs w:val="1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Ocwen Financial Corporation (Ocwen) stockholders’ equity</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0"/>
              </w:rPr>
              <w:t>Common stock, $.01 par value; 200,000,000 shares authorized; 123,989,954 and 124,774,516 shares issued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40" w:type="dxa"/>
            <w:vAlign w:val="bottom"/>
          </w:tcPr>
          <w:p>
            <w:pPr>
              <w:ind w:left="660"/>
              <w:spacing w:after="0"/>
              <w:rPr>
                <w:sz w:val="20"/>
                <w:szCs w:val="20"/>
                <w:color w:val="auto"/>
              </w:rPr>
            </w:pPr>
            <w:r>
              <w:rPr>
                <w:rFonts w:ascii="Arial" w:cs="Arial" w:eastAsia="Arial" w:hAnsi="Arial"/>
                <w:sz w:val="18"/>
                <w:szCs w:val="18"/>
                <w:color w:val="auto"/>
              </w:rPr>
              <w:t>and outstanding at September 30, 2016 and December 31, 2015, respectively</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524,725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526,148</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136,611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325,929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Accumulated other comprehensive loss, net of income taxes</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(1,763)</w:t>
            </w:r>
          </w:p>
        </w:tc>
      </w:tr>
      <w:tr>
        <w:trPr>
          <w:trHeight w:val="237"/>
        </w:trPr>
        <w:tc>
          <w:tcPr>
            <w:tcW w:w="8340" w:type="dxa"/>
            <w:vAlign w:val="bottom"/>
          </w:tcPr>
          <w:p>
            <w:pPr>
              <w:ind w:left="600"/>
              <w:spacing w:after="0"/>
              <w:rPr>
                <w:sz w:val="20"/>
                <w:szCs w:val="20"/>
                <w:color w:val="auto"/>
              </w:rPr>
            </w:pPr>
            <w:r>
              <w:rPr>
                <w:rFonts w:ascii="Arial" w:cs="Arial" w:eastAsia="Arial" w:hAnsi="Arial"/>
                <w:sz w:val="18"/>
                <w:szCs w:val="18"/>
                <w:color w:val="auto"/>
              </w:rPr>
              <w:t>Total Ocwen stockholders’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661,076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851,562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Non-controlling interest in subsidiaries</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3,076</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663,387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854,638</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7,585,450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For the Three Months Ended</w:t>
            </w:r>
          </w:p>
        </w:tc>
        <w:tc>
          <w:tcPr>
            <w:tcW w:w="3060" w:type="dxa"/>
            <w:vAlign w:val="bottom"/>
            <w:gridSpan w:val="6"/>
          </w:tcPr>
          <w:p>
            <w:pPr>
              <w:ind w:left="40"/>
              <w:spacing w:after="0"/>
              <w:rPr>
                <w:sz w:val="20"/>
                <w:szCs w:val="20"/>
                <w:color w:val="auto"/>
              </w:rPr>
            </w:pPr>
            <w:r>
              <w:rPr>
                <w:rFonts w:ascii="Arial" w:cs="Arial" w:eastAsia="Arial" w:hAnsi="Arial"/>
                <w:sz w:val="18"/>
                <w:szCs w:val="18"/>
                <w:b w:val="1"/>
                <w:bCs w:val="1"/>
                <w:color w:val="auto"/>
                <w:w w:val="90"/>
              </w:rPr>
              <w:t>For the Nine Months Ended September</w:t>
            </w:r>
          </w:p>
        </w:tc>
      </w:t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79"/>
              </w:rPr>
              <w:t>30,</w:t>
            </w:r>
          </w:p>
        </w:tc>
        <w:tc>
          <w:tcPr>
            <w:tcW w:w="11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302,235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360,017</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906,993</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1,203,541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25,645</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27,298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69,074</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116,934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31,568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17,631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87,192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58,166</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359,448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404,946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1,063,259</w:t>
            </w:r>
          </w:p>
        </w:tc>
        <w:tc>
          <w:tcPr>
            <w:tcW w:w="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1,378,641</w:t>
            </w:r>
          </w:p>
        </w:tc>
      </w:tr>
      <w:tr>
        <w:trPr>
          <w:trHeight w:val="210"/>
        </w:trPr>
        <w:tc>
          <w:tcPr>
            <w:tcW w:w="5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92,942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102,612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287,613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313,599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(2,558)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18,108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18,595</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88,188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63,551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101,545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249,230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255,905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25,941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37,182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85,519</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117,793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65,489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62,428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257,795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191,728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16,760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31,043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62,213</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85,530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34,808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65,593</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271,678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387,726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985,353</w:t>
            </w:r>
          </w:p>
        </w:tc>
        <w:tc>
          <w:tcPr>
            <w:tcW w:w="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1,118,336</w:t>
            </w:r>
          </w:p>
        </w:tc>
      </w:tr>
      <w:tr>
        <w:trPr>
          <w:trHeight w:val="210"/>
        </w:trPr>
        <w:tc>
          <w:tcPr>
            <w:tcW w:w="5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16,306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(110,961)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(118,313)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(308,083)</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(362,606)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Gain on sale of mortgage servicing rights, net</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41,246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7,689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97,958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14,736</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11,841</w:t>
            </w:r>
          </w:p>
        </w:tc>
        <w:tc>
          <w:tcPr>
            <w:tcW w:w="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(12,552)</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(85,406)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(274,065)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(260,894)</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5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(55,918)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(196,159)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(7,110)</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10,832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(7,214)</w:t>
            </w:r>
          </w:p>
        </w:tc>
        <w:tc>
          <w:tcPr>
            <w:tcW w:w="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21,866</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9,474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(188,945)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(22,455)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(373)</w:t>
            </w:r>
          </w:p>
        </w:tc>
        <w:tc>
          <w:tcPr>
            <w:tcW w:w="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(321)</w:t>
            </w:r>
          </w:p>
        </w:tc>
      </w:tr>
      <w:tr>
        <w:trPr>
          <w:trHeight w:val="297"/>
        </w:trPr>
        <w:tc>
          <w:tcPr>
            <w:tcW w:w="5160" w:type="dxa"/>
            <w:vAlign w:val="bottom"/>
            <w:tcBorders>
              <w:bottom w:val="single" w:sz="8" w:color="EAF9E8"/>
            </w:tcBorders>
          </w:tcPr>
          <w:p>
            <w:pPr>
              <w:ind w:left="280"/>
              <w:spacing w:after="0"/>
              <w:rPr>
                <w:sz w:val="20"/>
                <w:szCs w:val="20"/>
                <w:color w:val="auto"/>
              </w:rPr>
            </w:pPr>
            <w:r>
              <w:rPr>
                <w:rFonts w:ascii="Arial" w:cs="Arial" w:eastAsia="Arial" w:hAnsi="Arial"/>
                <w:sz w:val="18"/>
                <w:szCs w:val="18"/>
                <w:b w:val="1"/>
                <w:bCs w:val="1"/>
                <w:color w:val="auto"/>
              </w:rPr>
              <w:t>Net income (loss) attributable to Ocwen stockholders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9,391</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(66,869)</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(189,318)</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(22,776)</w:t>
            </w:r>
          </w:p>
        </w:tc>
      </w:tr>
      <w:tr>
        <w:trPr>
          <w:trHeight w:val="203"/>
        </w:trPr>
        <w:tc>
          <w:tcPr>
            <w:tcW w:w="51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(loss) per share attributable to Ocwen stockholders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w:t>
            </w:r>
          </w:p>
        </w:tc>
        <w:tc>
          <w:tcPr>
            <w:tcW w:w="440" w:type="dxa"/>
            <w:vAlign w:val="bottom"/>
            <w:tcBorders>
              <w:bottom w:val="single" w:sz="8" w:color="EAF9E8"/>
            </w:tcBorders>
            <w:gridSpan w:val="3"/>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shd w:val="clear" w:color="auto" w:fill="EAF9E8"/>
          </w:tcPr>
          <w:p>
            <w:pPr>
              <w:spacing w:after="0"/>
              <w:rPr>
                <w:sz w:val="23"/>
                <w:szCs w:val="23"/>
                <w:color w:val="auto"/>
              </w:rPr>
            </w:pPr>
          </w:p>
        </w:tc>
        <w:tc>
          <w:tcPr>
            <w:tcW w:w="280" w:type="dxa"/>
            <w:vAlign w:val="bottom"/>
            <w:shd w:val="clear" w:color="auto" w:fill="EAF9E8"/>
          </w:tcPr>
          <w:p>
            <w:pPr>
              <w:spacing w:after="0"/>
              <w:rPr>
                <w:sz w:val="23"/>
                <w:szCs w:val="23"/>
                <w:color w:val="auto"/>
              </w:rPr>
            </w:pPr>
          </w:p>
        </w:tc>
        <w:tc>
          <w:tcPr>
            <w:tcW w:w="12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114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123,986,987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125,383,639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123,991,343</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125,322,742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124,134,507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125,383,639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123,991,343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125,322,742</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COMPREHENSIVE INCOME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2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1"/>
              </w:rPr>
              <w:t>For the Three Months Ended</w:t>
            </w:r>
          </w:p>
        </w:tc>
        <w:tc>
          <w:tcPr>
            <w:tcW w:w="3060" w:type="dxa"/>
            <w:vAlign w:val="bottom"/>
            <w:gridSpan w:val="6"/>
          </w:tcPr>
          <w:p>
            <w:pPr>
              <w:ind w:left="40"/>
              <w:spacing w:after="0"/>
              <w:rPr>
                <w:sz w:val="20"/>
                <w:szCs w:val="20"/>
                <w:color w:val="auto"/>
              </w:rPr>
            </w:pPr>
            <w:r>
              <w:rPr>
                <w:rFonts w:ascii="Arial" w:cs="Arial" w:eastAsia="Arial" w:hAnsi="Arial"/>
                <w:sz w:val="18"/>
                <w:szCs w:val="18"/>
                <w:b w:val="1"/>
                <w:bCs w:val="1"/>
                <w:color w:val="auto"/>
                <w:w w:val="90"/>
              </w:rPr>
              <w:t>For the Nine Months Ended September</w:t>
            </w:r>
          </w:p>
        </w:tc>
      </w:tr>
      <w:tr>
        <w:trPr>
          <w:trHeight w:val="234"/>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79"/>
              </w:rPr>
              <w:t>30,</w:t>
            </w: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16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EAF9E8"/>
          </w:tcPr>
          <w:p>
            <w:pPr>
              <w:ind w:left="4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88"/>
              </w:rPr>
              <w:t>9,474</w:t>
            </w:r>
          </w:p>
        </w:tc>
        <w:tc>
          <w:tcPr>
            <w:tcW w:w="120" w:type="dxa"/>
            <w:vAlign w:val="bottom"/>
            <w:shd w:val="clear" w:color="auto" w:fill="EAF9E8"/>
          </w:tcPr>
          <w:p>
            <w:pPr>
              <w:spacing w:after="0"/>
              <w:rPr>
                <w:sz w:val="20"/>
                <w:szCs w:val="20"/>
                <w:color w:val="auto"/>
              </w:rPr>
            </w:pPr>
          </w:p>
        </w:tc>
        <w:tc>
          <w:tcPr>
            <w:tcW w:w="52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(66,750)</w:t>
            </w:r>
          </w:p>
        </w:tc>
        <w:tc>
          <w:tcPr>
            <w:tcW w:w="100" w:type="dxa"/>
            <w:vAlign w:val="bottom"/>
            <w:shd w:val="clear" w:color="auto" w:fill="EAF9E8"/>
          </w:tcPr>
          <w:p>
            <w:pPr>
              <w:spacing w:after="0"/>
              <w:rPr>
                <w:sz w:val="20"/>
                <w:szCs w:val="20"/>
                <w:color w:val="auto"/>
              </w:rPr>
            </w:pPr>
          </w:p>
        </w:tc>
        <w:tc>
          <w:tcPr>
            <w:tcW w:w="340" w:type="dxa"/>
            <w:vAlign w:val="bottom"/>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(188,945)</w:t>
            </w:r>
          </w:p>
        </w:tc>
        <w:tc>
          <w:tcPr>
            <w:tcW w:w="48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(22,455)</w:t>
            </w:r>
          </w:p>
        </w:tc>
      </w:tr>
      <w:tr>
        <w:trPr>
          <w:trHeight w:val="27"/>
        </w:trPr>
        <w:tc>
          <w:tcPr>
            <w:tcW w:w="5160" w:type="dxa"/>
            <w:vAlign w:val="bottom"/>
            <w:shd w:val="clear" w:color="auto" w:fill="EAF9E8"/>
          </w:tcPr>
          <w:p>
            <w:pPr>
              <w:spacing w:after="0"/>
              <w:rPr>
                <w:sz w:val="2"/>
                <w:szCs w:val="2"/>
                <w:color w:val="auto"/>
              </w:rPr>
            </w:pPr>
          </w:p>
        </w:tc>
        <w:tc>
          <w:tcPr>
            <w:tcW w:w="960" w:type="dxa"/>
            <w:vAlign w:val="bottom"/>
            <w:shd w:val="clear" w:color="auto" w:fill="EAF9E8"/>
          </w:tcPr>
          <w:p>
            <w:pPr>
              <w:spacing w:after="0"/>
              <w:rPr>
                <w:sz w:val="2"/>
                <w:szCs w:val="2"/>
                <w:color w:val="auto"/>
              </w:rPr>
            </w:pPr>
          </w:p>
        </w:tc>
        <w:tc>
          <w:tcPr>
            <w:tcW w:w="5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520" w:type="dxa"/>
            <w:vAlign w:val="bottom"/>
            <w:shd w:val="clear" w:color="auto" w:fill="EAF9E8"/>
          </w:tcPr>
          <w:p>
            <w:pPr>
              <w:spacing w:after="0"/>
              <w:rPr>
                <w:sz w:val="2"/>
                <w:szCs w:val="2"/>
                <w:color w:val="auto"/>
              </w:rPr>
            </w:pPr>
          </w:p>
        </w:tc>
        <w:tc>
          <w:tcPr>
            <w:tcW w:w="9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shd w:val="clear" w:color="auto" w:fill="EAF9E8"/>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540" w:type="dxa"/>
            <w:vAlign w:val="bottom"/>
            <w:shd w:val="clear" w:color="auto" w:fill="EAF9E8"/>
          </w:tcPr>
          <w:p>
            <w:pPr>
              <w:spacing w:after="0"/>
              <w:rPr>
                <w:sz w:val="23"/>
                <w:szCs w:val="23"/>
                <w:color w:val="auto"/>
              </w:rPr>
            </w:pPr>
          </w:p>
        </w:tc>
        <w:tc>
          <w:tcPr>
            <w:tcW w:w="96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48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420" w:type="dxa"/>
            <w:vAlign w:val="bottom"/>
            <w:shd w:val="clear" w:color="auto" w:fill="EAF9E8"/>
          </w:tcPr>
          <w:p>
            <w:pPr>
              <w:spacing w:after="0"/>
              <w:rPr>
                <w:sz w:val="23"/>
                <w:szCs w:val="23"/>
                <w:color w:val="auto"/>
              </w:rPr>
            </w:pPr>
          </w:p>
        </w:tc>
        <w:tc>
          <w:tcPr>
            <w:tcW w:w="10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48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1"/>
              </w:rPr>
              <w:t>Reclassification adjustment for losses on cash flow hedges included</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in net income (1)(2)</w:t>
            </w:r>
          </w:p>
        </w:tc>
        <w:tc>
          <w:tcPr>
            <w:tcW w:w="5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6,527</w:t>
            </w:r>
          </w:p>
        </w:tc>
      </w:tr>
      <w:tr>
        <w:trPr>
          <w:trHeight w:val="27"/>
        </w:trPr>
        <w:tc>
          <w:tcPr>
            <w:tcW w:w="516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1"/>
        </w:trPr>
        <w:tc>
          <w:tcPr>
            <w:tcW w:w="516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48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8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9,563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(66,256)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(188,682)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(15,928)</w:t>
            </w:r>
          </w:p>
        </w:tc>
      </w:tr>
      <w:tr>
        <w:trPr>
          <w:trHeight w:val="27"/>
        </w:trPr>
        <w:tc>
          <w:tcPr>
            <w:tcW w:w="5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54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(321)</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Ocwen stockholders</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9,480</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(66,375)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(189,055)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(16,249)</w:t>
            </w:r>
          </w:p>
        </w:tc>
      </w:tr>
      <w:tr>
        <w:trPr>
          <w:trHeight w:val="20"/>
        </w:trPr>
        <w:tc>
          <w:tcPr>
            <w:tcW w:w="5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losses are reclassified to Other, net in the Unaudited Consolidated Statements of Operations.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tax expense of $0.4 million for the nine months ended September 30,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line="261"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FOR THE NINE MONTHS ENDED SEPTEMBER 30, 2016 AND 2015 (Dollars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gridSpan w:val="5"/>
          </w:tcPr>
          <w:p>
            <w:pPr>
              <w:ind w:left="20"/>
              <w:spacing w:after="0"/>
              <w:rPr>
                <w:sz w:val="20"/>
                <w:szCs w:val="20"/>
                <w:color w:val="auto"/>
              </w:rPr>
            </w:pPr>
            <w:r>
              <w:rPr>
                <w:rFonts w:ascii="Arial" w:cs="Arial" w:eastAsia="Arial" w:hAnsi="Arial"/>
                <w:sz w:val="16"/>
                <w:szCs w:val="16"/>
                <w:b w:val="1"/>
                <w:bCs w:val="1"/>
                <w:color w:val="auto"/>
                <w:w w:val="89"/>
              </w:rPr>
              <w:t>Ocwen Stockholders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400" w:type="dxa"/>
            <w:vAlign w:val="bottom"/>
            <w:gridSpan w:val="4"/>
            <w:vMerge w:val="restart"/>
          </w:tcPr>
          <w:p>
            <w:pPr>
              <w:jc w:val="right"/>
              <w:ind w:right="539"/>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740" w:type="dxa"/>
            <w:vAlign w:val="bottom"/>
          </w:tcPr>
          <w:p>
            <w:pPr>
              <w:spacing w:after="0"/>
              <w:rPr>
                <w:sz w:val="6"/>
                <w:szCs w:val="6"/>
                <w:color w:val="auto"/>
              </w:rPr>
            </w:pPr>
          </w:p>
        </w:tc>
        <w:tc>
          <w:tcPr>
            <w:tcW w:w="240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Comprehensive</w:t>
            </w:r>
          </w:p>
        </w:tc>
        <w:tc>
          <w:tcPr>
            <w:tcW w:w="120" w:type="dxa"/>
            <w:vAlign w:val="bottom"/>
          </w:tcPr>
          <w:p>
            <w:pPr>
              <w:spacing w:after="0"/>
              <w:rPr>
                <w:sz w:val="6"/>
                <w:szCs w:val="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controlling</w:t>
            </w: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Paid-in</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Net of Taxes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124,774,516</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1,248</w:t>
            </w:r>
          </w:p>
        </w:tc>
        <w:tc>
          <w:tcPr>
            <w:tcW w:w="34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526,148</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325,929</w:t>
            </w: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(1,763)</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3,076</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854,638</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(189,318)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(188,945)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Repurchase of common stock</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(991,985)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(5,880)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(5,890)</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69,805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w w:val="94"/>
              </w:rPr>
              <w:t>Equity-based compensation and other</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137,618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4,016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4,017</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8"/>
              </w:rPr>
              <w:t>Capital distribution to non-controlling</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interest</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EAF9E8"/>
          </w:tcPr>
          <w:p>
            <w:pPr>
              <w:ind w:left="180"/>
              <w:spacing w:after="0"/>
              <w:rPr>
                <w:sz w:val="20"/>
                <w:szCs w:val="20"/>
                <w:color w:val="auto"/>
              </w:rPr>
            </w:pPr>
            <w:r>
              <w:rPr>
                <w:rFonts w:ascii="Arial" w:cs="Arial" w:eastAsia="Arial" w:hAnsi="Arial"/>
                <w:sz w:val="16"/>
                <w:szCs w:val="16"/>
                <w:color w:val="auto"/>
                <w:w w:val="98"/>
              </w:rPr>
              <w:t>Other comprehensive income, net of</w:t>
            </w: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income taxes</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EAF9E8"/>
            </w:tcBorders>
          </w:tcPr>
          <w:p>
            <w:pPr>
              <w:ind w:left="40"/>
              <w:spacing w:after="0"/>
              <w:rPr>
                <w:sz w:val="20"/>
                <w:szCs w:val="20"/>
                <w:color w:val="auto"/>
              </w:rPr>
            </w:pPr>
            <w:r>
              <w:rPr>
                <w:rFonts w:ascii="Arial" w:cs="Arial" w:eastAsia="Arial" w:hAnsi="Arial"/>
                <w:sz w:val="16"/>
                <w:szCs w:val="16"/>
                <w:b w:val="1"/>
                <w:bCs w:val="1"/>
                <w:color w:val="auto"/>
              </w:rPr>
              <w:t>Balance at September 30, 2016</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123,989,954</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1,240</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524,725</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136,611</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2,311</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663,387</w:t>
            </w:r>
          </w:p>
        </w:tc>
        <w:tc>
          <w:tcPr>
            <w:tcW w:w="0" w:type="dxa"/>
            <w:vAlign w:val="bottom"/>
          </w:tcPr>
          <w:p>
            <w:pPr>
              <w:spacing w:after="0"/>
              <w:rPr>
                <w:sz w:val="1"/>
                <w:szCs w:val="1"/>
                <w:color w:val="auto"/>
              </w:rPr>
            </w:pPr>
          </w:p>
        </w:tc>
      </w:tr>
      <w:tr>
        <w:trPr>
          <w:trHeight w:val="271"/>
        </w:trPr>
        <w:tc>
          <w:tcPr>
            <w:tcW w:w="274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90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9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880" w:type="dxa"/>
            <w:vAlign w:val="bottom"/>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125,215,615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1,252</w:t>
            </w:r>
          </w:p>
        </w:tc>
        <w:tc>
          <w:tcPr>
            <w:tcW w:w="34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515,194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530,361</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(8,413)</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2,771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1,041,165</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(22,776)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(22,455)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EAF9E8"/>
          </w:tcPr>
          <w:p>
            <w:pPr>
              <w:ind w:left="180"/>
              <w:spacing w:after="0"/>
              <w:rPr>
                <w:sz w:val="20"/>
                <w:szCs w:val="20"/>
                <w:color w:val="auto"/>
              </w:rPr>
            </w:pPr>
            <w:r>
              <w:rPr>
                <w:rFonts w:ascii="Arial" w:cs="Arial" w:eastAsia="Arial" w:hAnsi="Arial"/>
                <w:sz w:val="16"/>
                <w:szCs w:val="16"/>
                <w:color w:val="auto"/>
                <w:w w:val="93"/>
              </w:rPr>
              <w:t>Cumulative effect of fair value election</w:t>
            </w: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EAF9E8"/>
          </w:tcPr>
          <w:p>
            <w:pPr>
              <w:ind w:left="340"/>
              <w:spacing w:after="0"/>
              <w:rPr>
                <w:sz w:val="20"/>
                <w:szCs w:val="20"/>
                <w:color w:val="auto"/>
              </w:rPr>
            </w:pPr>
            <w:r>
              <w:rPr>
                <w:rFonts w:ascii="Arial" w:cs="Arial" w:eastAsia="Arial" w:hAnsi="Arial"/>
                <w:sz w:val="16"/>
                <w:szCs w:val="16"/>
                <w:color w:val="auto"/>
              </w:rPr>
              <w:t>- Mortgage servicing rights, net of</w:t>
            </w: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rPr>
              <w:t>income taxes</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42,788</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42,788</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85,173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w w:val="94"/>
              </w:rPr>
              <w:t>Equity-based compensation and other</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89,694</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11,920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11,921</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8"/>
              </w:rPr>
              <w:t>Other comprehensive income, net of</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6,527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6,527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September 30, 2015</w:t>
            </w:r>
          </w:p>
        </w:tc>
        <w:tc>
          <w:tcPr>
            <w:tcW w:w="1180" w:type="dxa"/>
            <w:vAlign w:val="bottom"/>
            <w:shd w:val="clear" w:color="auto" w:fill="EAF9E8"/>
          </w:tcPr>
          <w:p>
            <w:pPr>
              <w:jc w:val="right"/>
              <w:ind w:right="59"/>
              <w:spacing w:after="0"/>
              <w:rPr>
                <w:sz w:val="20"/>
                <w:szCs w:val="20"/>
                <w:color w:val="auto"/>
              </w:rPr>
            </w:pPr>
            <w:r>
              <w:rPr>
                <w:rFonts w:ascii="Arial" w:cs="Arial" w:eastAsia="Arial" w:hAnsi="Arial"/>
                <w:sz w:val="16"/>
                <w:szCs w:val="16"/>
                <w:color w:val="auto"/>
              </w:rPr>
              <w:t>125,390,482</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1,254</w:t>
            </w:r>
          </w:p>
        </w:tc>
        <w:tc>
          <w:tcPr>
            <w:tcW w:w="340" w:type="dxa"/>
            <w:vAlign w:val="bottom"/>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527,622</w:t>
            </w: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550,373</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(1,886)</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3,092</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1,080,455</w:t>
            </w:r>
          </w:p>
        </w:tc>
        <w:tc>
          <w:tcPr>
            <w:tcW w:w="0" w:type="dxa"/>
            <w:vAlign w:val="bottom"/>
          </w:tcPr>
          <w:p>
            <w:pPr>
              <w:spacing w:after="0"/>
              <w:rPr>
                <w:sz w:val="1"/>
                <w:szCs w:val="1"/>
                <w:color w:val="auto"/>
              </w:rPr>
            </w:pPr>
          </w:p>
        </w:tc>
      </w:tr>
      <w:tr>
        <w:trPr>
          <w:trHeight w:val="20"/>
        </w:trPr>
        <w:tc>
          <w:tcPr>
            <w:tcW w:w="274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jc w:val="center"/>
        <w:ind w:right="-3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For the Nine Months Ended</w:t>
      </w:r>
    </w:p>
    <w:p>
      <w:pPr>
        <w:spacing w:after="0" w:line="27"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22860</wp:posOffset>
            </wp:positionV>
            <wp:extent cx="1903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8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(188,945)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(22,455)</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18,595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88,188</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Loss on valuation of mortgage servicing rights, at fair value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63,609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73,257</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Impairment of mortgage servicing rights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37,164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25,052</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Gain on sale of mortgage servicing rights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(97,958)</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8,529</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Provision for bad debts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61,191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25,272</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18,277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13,467</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10,385</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sale of fixed assets</w:t>
            </w:r>
          </w:p>
        </w:tc>
        <w:tc>
          <w:tcPr>
            <w:tcW w:w="3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(1,095)</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Increase in deferred tax assets</w:t>
            </w: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5,700</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Equity-based compensation expense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5,130</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(69,074)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(116,934)</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Origination and purchase of loans held for sale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(4,575,264)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(3,713,311)</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sale and collections of loans held for sale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4,493,887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3,935,420</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343,129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491,654</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(increase) in receivables and other assets, net</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122,305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(1,899)</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Increase in other liabilities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30,726</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11,802</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14,866</w:t>
            </w:r>
          </w:p>
        </w:tc>
      </w:tr>
      <w:tr>
        <w:trPr>
          <w:trHeight w:val="237"/>
        </w:trPr>
        <w:tc>
          <w:tcPr>
            <w:tcW w:w="810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350,420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773,994</w:t>
            </w:r>
          </w:p>
        </w:tc>
      </w:tr>
      <w:tr>
        <w:trPr>
          <w:trHeight w:val="27"/>
        </w:trPr>
        <w:tc>
          <w:tcPr>
            <w:tcW w:w="8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Origination of loans held for investment – reverse mortgages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(1,185,565)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(781,002)</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Principal payments received on loans held for investment - reverse mortgages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528,263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105,520</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Purchase of mortgage servicing rights, net</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(15,969)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(10,055)</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sale of mortgage servicing rights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45,254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598,059</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of advances and match funded advances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74,982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285,938</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Additions to premises and equipment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(18,335)</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of premises and equipment</w:t>
            </w:r>
          </w:p>
        </w:tc>
        <w:tc>
          <w:tcPr>
            <w:tcW w:w="3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4,758</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4,082</w:t>
            </w:r>
          </w:p>
        </w:tc>
      </w:tr>
      <w:tr>
        <w:trPr>
          <w:trHeight w:val="27"/>
        </w:trPr>
        <w:tc>
          <w:tcPr>
            <w:tcW w:w="8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(572,201)</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188,965</w:t>
            </w:r>
          </w:p>
        </w:tc>
      </w:tr>
      <w:tr>
        <w:trPr>
          <w:trHeight w:val="318"/>
        </w:trPr>
        <w:tc>
          <w:tcPr>
            <w:tcW w:w="8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Repayment of match funded liabilities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(218,517)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(500,401)</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other secured borrowings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6,632,059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5,647,016</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Repayments of other secured borrowings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(6,996,715)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(6,572,601)</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Payment of debt issuance costs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(2,242)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(18,610)</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sale of loans accounted for as a financing</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820,438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803,924</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Repurchase of common stock</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(5,890)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exercise of common stock options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413</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6,501</w:t>
            </w:r>
          </w:p>
        </w:tc>
      </w:tr>
      <w:tr>
        <w:trPr>
          <w:trHeight w:val="237"/>
        </w:trPr>
        <w:tc>
          <w:tcPr>
            <w:tcW w:w="8100" w:type="dxa"/>
            <w:vAlign w:val="bottom"/>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228,043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(633,758)</w:t>
            </w:r>
          </w:p>
        </w:tc>
      </w:tr>
      <w:tr>
        <w:trPr>
          <w:trHeight w:val="27"/>
        </w:trPr>
        <w:tc>
          <w:tcPr>
            <w:tcW w:w="8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Net increase in cash</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329,201</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beginning of year</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257,272</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129,473</w:t>
            </w:r>
          </w:p>
        </w:tc>
      </w:tr>
      <w:tr>
        <w:trPr>
          <w:trHeight w:val="297"/>
        </w:trPr>
        <w:tc>
          <w:tcPr>
            <w:tcW w:w="81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Cash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263,534</w:t>
            </w:r>
          </w:p>
        </w:tc>
        <w:tc>
          <w:tcPr>
            <w:tcW w:w="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458,674</w:t>
            </w:r>
          </w:p>
        </w:tc>
      </w:tr>
      <w:tr>
        <w:trPr>
          <w:trHeight w:val="311"/>
        </w:trPr>
        <w:tc>
          <w:tcPr>
            <w:tcW w:w="8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bl>
    <w:p>
      <w:pPr>
        <w:sectPr>
          <w:pgSz w:w="11900" w:h="16838" w:orient="portrait"/>
          <w:cols w:equalWidth="0" w:num="1">
            <w:col w:w="11100"/>
          </w:cols>
          <w:pgMar w:left="240" w:top="337" w:right="559" w:bottom="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ectPr>
          <w:pgSz w:w="11900" w:h="16838" w:orient="portrait"/>
          <w:cols w:equalWidth="0" w:num="1">
            <w:col w:w="9019"/>
          </w:cols>
          <w:pgMar w:left="1440" w:top="1017"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1017" w:right="1440"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Business Environment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Ocwen Financial Corporation (NYSE: OCN) (Ocwen, we, us and our) is a financial services holding company which, through its subsidiaries, originates and services loans. We are headquartered in West Palm Beach, Florida with offices located throughout the United States (U.S.) and in the United States Virgin Islands (USVI) and operations in India and the Philippines. Ocwen is a Florida corporation organized in February 1988.</w:t>
      </w:r>
    </w:p>
    <w:p>
      <w:pPr>
        <w:spacing w:after="0" w:line="166"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(OFSPL), Homeward Residential, Inc. (Homeward), and Liberty Home Equity Solutions, Inc. (Liberty).</w:t>
      </w:r>
    </w:p>
    <w:p>
      <w:pPr>
        <w:spacing w:after="0" w:line="73" w:lineRule="exact"/>
        <w:rPr>
          <w:sz w:val="20"/>
          <w:szCs w:val="20"/>
          <w:color w:val="auto"/>
        </w:rPr>
      </w:pPr>
    </w:p>
    <w:p>
      <w:pPr>
        <w:ind w:right="520" w:firstLine="324"/>
        <w:spacing w:after="0" w:line="291" w:lineRule="auto"/>
        <w:rPr>
          <w:sz w:val="20"/>
          <w:szCs w:val="20"/>
          <w:color w:val="auto"/>
        </w:rPr>
      </w:pPr>
      <w:r>
        <w:rPr>
          <w:rFonts w:ascii="Arial" w:cs="Arial" w:eastAsia="Arial" w:hAnsi="Arial"/>
          <w:sz w:val="16"/>
          <w:szCs w:val="16"/>
          <w:color w:val="auto"/>
        </w:rPr>
        <w:t>We perform primary and master servicer activities on behalf of investors and other servicers, including the Federal National Mortgage Association (Fannie Mae) and Federal Home Loan Mortgage Corporation (Freddie Mac) (collectively, the GSEs), the Government National Mortgage Association</w:t>
      </w:r>
    </w:p>
    <w:p>
      <w:pPr>
        <w:ind w:right="120"/>
        <w:spacing w:after="0" w:line="253" w:lineRule="auto"/>
        <w:rPr>
          <w:sz w:val="20"/>
          <w:szCs w:val="20"/>
          <w:color w:val="auto"/>
        </w:rPr>
      </w:pPr>
      <w:r>
        <w:rPr>
          <w:rFonts w:ascii="Arial" w:cs="Arial" w:eastAsia="Arial" w:hAnsi="Arial"/>
          <w:sz w:val="18"/>
          <w:szCs w:val="18"/>
          <w:color w:val="auto"/>
        </w:rPr>
        <w:t>(Ginnie Mae) and private-label securitizations (non-Agency). As primary servicer, we may be required to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3"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We primarily originate, purchase, sell and securitize conventional (conforming to the underwriting standards of Fannie Mae or Freddie Mac; collectively referred to as Agency loans) and government-insured (Federal Housing Administration (FHA) or Department of Veterans Affairs (VA)) forward and reverse mortgages. The GSEs or Ginnie Mae guarantee these mortgage securitizations.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Liquidity, Financing Activities and Management’s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facing certain challenges and uncertainties that could have significant adverse effects on our business, liquidity and financing activities.</w:t>
      </w:r>
    </w:p>
    <w:p>
      <w:pPr>
        <w:spacing w:after="0" w:line="1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faced, and expect to continue to face, increased regulatory and public scrutiny as well as stricter and more comprehensive regulation of our business. We have entered into a number of regulatory settlements, which subject us to ongoing monitoring or reporting and which have significantly impacted our ability to grow our servicing portfolio. See Note 17 – Regulatory Requirements and Note 19 – Contingencies for further information regarding regulatory requirements, regulatory settlements and regulatory-related contingencies.</w:t>
      </w:r>
    </w:p>
    <w:p>
      <w:pPr>
        <w:spacing w:after="0" w:line="7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made significant investments in our risk and compliance infrastructure and we are intensely focused on improving our operations to enhance borrower experiences and improve efficiencies. On August 9, 2016, Standard &amp; Poor’s Rating Services upgraded our servicer rating from “Below Average” to “Average” and cited improvements in our risk and compliance areas and internal control environment, among other factors, as reasons for the upgrade. To the extent that an examination, monitorship, audit or other regulatory engagement results in an alleged failure by us to comply with applicable law, regulation or licensing requirement, or if allegations are made that we have failed to comply with the commitments we have made in connection with our regulatory settlements, or if other regulatory actions are taken in the future against us of a similar or different nature,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and (vii) 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7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While we are reporting quarterly net income this quarter, marking our first quarterly profit since the second quarter of 2015, we are reporting a net loss for the nine months ended September 30, 2016. In order for us to be profitable over the long term, we will need to continue to reduce our expenses so that they align with our reduced revenue profile. Pursuant to the cost improvement initiative that we announced in 2015, we are focused on reducing servicing costs, rationalization of our U.S. based headcount, reducing our reliance on third-party service providers for facilities management, technology infrastructure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88" w:right="259" w:bottom="1440" w:gutter="0" w:footer="0" w:header="0"/>
        </w:sectPr>
      </w:pPr>
    </w:p>
    <w:bookmarkStart w:id="11" w:name="page12"/>
    <w:bookmarkEnd w:id="11"/>
    <w:p>
      <w:pPr>
        <w:ind w:right="60"/>
        <w:spacing w:after="0" w:line="273" w:lineRule="auto"/>
        <w:rPr>
          <w:sz w:val="20"/>
          <w:szCs w:val="20"/>
          <w:color w:val="auto"/>
        </w:rPr>
      </w:pPr>
      <w:r>
        <w:rPr>
          <w:rFonts w:ascii="Arial" w:cs="Arial" w:eastAsia="Arial" w:hAnsi="Arial"/>
          <w:sz w:val="17"/>
          <w:szCs w:val="17"/>
          <w:color w:val="auto"/>
        </w:rPr>
        <w:t>management and support services and continuing optimization of our purchased services spend. We are also seeking to increase our revenue through growing our lending business and investments in adjacent markets where we perceive market opportunities consistent with our strategic goals. We believe that our Automotive Capital Services (ACS) business has the potential to provide long-term growth to Ocwen and, accordingly, we are investing in this business in order to fuel our growth. There can be no assurance that we will be successful in returning to sustained profitability. Our success will depend on market conditions and other factors outside of our control as well as successful operational execution. If we continue to experience losses, our share price, business, reputation, financial condition and results of operations could be materially and adversely affected.</w:t>
      </w:r>
    </w:p>
    <w:p>
      <w:pPr>
        <w:spacing w:after="0" w:line="17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If we fail to comply with our debt agreements and are unable to avoid, remedy or secure a waiver of any resulting default, we may be subject to adverse action by our lenders, including terminations of further funding, acceleration of outstanding obligations, enforcement of liens against the assets securing or otherwise supporting our obligations and other legal remedies. Our lenders can waive their contractual rights in the event of a default. We project we will be in compliance with our financial covenants during the remainder of 2016. In order to avoid an event of default arising from a covenant breach, we could repay or refinance debt, among other actions. See Note 11 – Borrowings for further information regarding our debt agreements.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nine months ended September 30, 2016 are not necessarily indicative of the results that may be expected for any other interim period or for the year ending December 31, 2016. The unaudited consolidated financial statements presented herein should be read in conjunction with the audited consolidated financial statements and related notes thereto included in our Annual Report on Form 10-K for the year ended December 31, 2015.</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 xml:space="preserve">As a result of our retrospective adoption on January 1, 2016 of FASB Accounting Standards Update (ASU) 2015-03, </w:t>
      </w:r>
      <w:r>
        <w:rPr>
          <w:rFonts w:ascii="Arial" w:cs="Arial" w:eastAsia="Arial" w:hAnsi="Arial"/>
          <w:sz w:val="17"/>
          <w:szCs w:val="17"/>
          <w:i w:val="1"/>
          <w:iCs w:val="1"/>
          <w:color w:val="auto"/>
        </w:rPr>
        <w:t>Interest—Imputation of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and ASU 2015-15,</w:t>
      </w:r>
      <w:r>
        <w:rPr>
          <w:rFonts w:ascii="Arial" w:cs="Arial" w:eastAsia="Arial" w:hAnsi="Arial"/>
          <w:sz w:val="17"/>
          <w:szCs w:val="17"/>
          <w:i w:val="1"/>
          <w:iCs w:val="1"/>
          <w:color w:val="auto"/>
        </w:rPr>
        <w:t xml:space="preserve"> Interest—Imputation of Interest: Presentation and Subsequent Measurement of Debt Issuance Costs Associated with Line-of-Credit Arrangements—Amendments to SEC Paragraphs Pursuant to Staff Announcement at June 18, 2015 EITF Meeting</w:t>
      </w:r>
      <w:r>
        <w:rPr>
          <w:rFonts w:ascii="Arial" w:cs="Arial" w:eastAsia="Arial" w:hAnsi="Arial"/>
          <w:sz w:val="17"/>
          <w:szCs w:val="17"/>
          <w:color w:val="auto"/>
        </w:rPr>
        <w:t>, unamortized debt issuance costs that are not related to revolving line-of-credit arrangements have been reclassified from other assets to other</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borrowings and senior unsecured notes on the consolidated balance sheets, resulting in a reduction to Ocwen’s assets and liabilities of $16.3 million and $24.5 million at September 30, 2016 and December 31, 2015,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that management make estimates and assumptions that affect the reported amounts of assets and liabilities at the date of the financial statements, the reported amounts of revenues and expenses during the reporting period and the related disclosures in the accompanying notes. Such estimates and assumptions include, but are not limited to, those that relate to fair value measurements, the provision for potential losses that may arise from litigation proceedings, and representation and warranty and other indemnification obligations. In developing estimates and assumptions, management uses all available information; however, actual results could materially differ from those estimates and assumptions.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5" w:lineRule="exact"/>
        <w:rPr>
          <w:sz w:val="20"/>
          <w:szCs w:val="20"/>
          <w:color w:val="auto"/>
        </w:rPr>
      </w:pPr>
    </w:p>
    <w:p>
      <w:pPr>
        <w:ind w:left="340" w:right="280"/>
        <w:spacing w:after="0" w:line="282" w:lineRule="auto"/>
        <w:rPr>
          <w:sz w:val="20"/>
          <w:szCs w:val="20"/>
          <w:color w:val="auto"/>
        </w:rPr>
      </w:pPr>
      <w:r>
        <w:rPr>
          <w:rFonts w:ascii="Arial" w:cs="Arial" w:eastAsia="Arial" w:hAnsi="Arial"/>
          <w:sz w:val="18"/>
          <w:szCs w:val="18"/>
          <w:b w:val="1"/>
          <w:bCs w:val="1"/>
          <w:color w:val="auto"/>
        </w:rPr>
        <w:t>Presentation of Financial Statements—Going Concern: Disclosure of Uncertainties about an Entity’s Ability to Continue as a Going Concern (ASU 2014-15)</w:t>
      </w:r>
    </w:p>
    <w:p>
      <w:pPr>
        <w:spacing w:after="0" w:line="166"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In August 2014, the FASB issued ASU 2014-15 to define management’s responsibility to evaluate whether there is substantial doubt about an organization’s ability to continue as a going concern and to provide related footnote disclosures. This ASU provides guidance to an organization’s management, with principles and definitions that are intended to reduce diversity in the timing and content of disclosures that are commonly provided by organizations today in the financial statement footnotes.</w:t>
      </w:r>
    </w:p>
    <w:p>
      <w:pPr>
        <w:spacing w:after="0" w:line="16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connection with preparing financial statements for each reporting period, an organization’s management should evaluate whether there are conditions or events, considered in the aggregate, that raise substantial doubt about the organization’s ability to continue as a going concern within one year after the date that the financial statements are issued (or are available to be issued, when applicable), based on relevant conditions and events that are known and reasonably knowable at the date that the financial statements are issued (or are available to be issued, when applicable).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2" w:name="page13"/>
    <w:bookmarkEnd w:id="12"/>
    <w:p>
      <w:pPr>
        <w:ind w:right="120" w:firstLine="324"/>
        <w:spacing w:after="0" w:line="277" w:lineRule="auto"/>
        <w:rPr>
          <w:sz w:val="20"/>
          <w:szCs w:val="20"/>
          <w:color w:val="auto"/>
        </w:rPr>
      </w:pPr>
      <w:r>
        <w:rPr>
          <w:rFonts w:ascii="Arial" w:cs="Arial" w:eastAsia="Arial" w:hAnsi="Arial"/>
          <w:sz w:val="18"/>
          <w:szCs w:val="18"/>
          <w:color w:val="auto"/>
        </w:rPr>
        <w:t>ASU 2014-15 will be effective for the annual period ending on December 31, 2016 and for interim periods beginning in 2017. We do not anticipate that our adoption of this standard will have a material impact on our consolidated financial statements.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 (ASU 2016-02)</w:t>
      </w:r>
    </w:p>
    <w:p>
      <w:pPr>
        <w:spacing w:after="0" w:line="229" w:lineRule="exact"/>
        <w:rPr>
          <w:sz w:val="20"/>
          <w:szCs w:val="20"/>
          <w:color w:val="auto"/>
        </w:rPr>
      </w:pPr>
    </w:p>
    <w:p>
      <w:pPr>
        <w:jc w:val="both"/>
        <w:ind w:right="80" w:firstLine="324"/>
        <w:spacing w:after="0" w:line="288" w:lineRule="auto"/>
        <w:rPr>
          <w:sz w:val="20"/>
          <w:szCs w:val="20"/>
          <w:color w:val="auto"/>
        </w:rPr>
      </w:pPr>
      <w:r>
        <w:rPr>
          <w:rFonts w:ascii="Arial" w:cs="Arial" w:eastAsia="Arial" w:hAnsi="Arial"/>
          <w:sz w:val="16"/>
          <w:szCs w:val="16"/>
          <w:color w:val="auto"/>
        </w:rPr>
        <w:t>In February 2016, the FASB issued ASU 2016-02 to increase transparency and comparability among organizations by recognizing lease assets and lease liabilities on the balance sheet and disclosing key qualitative and quantitative information about leasing arrangements. A lessee will be required to recognize assets and liabilities for leases with lease terms of more than 12 months, regardless of whether the lease is classified as a finance or operating lease.</w:t>
      </w:r>
    </w:p>
    <w:p>
      <w:pPr>
        <w:jc w:val="both"/>
        <w:ind w:right="400"/>
        <w:spacing w:after="0" w:line="255" w:lineRule="auto"/>
        <w:rPr>
          <w:sz w:val="20"/>
          <w:szCs w:val="20"/>
          <w:color w:val="auto"/>
        </w:rPr>
      </w:pPr>
      <w:r>
        <w:rPr>
          <w:rFonts w:ascii="Arial" w:cs="Arial" w:eastAsia="Arial" w:hAnsi="Arial"/>
          <w:sz w:val="18"/>
          <w:szCs w:val="18"/>
          <w:color w:val="auto"/>
        </w:rPr>
        <w:t>Additional disclosures will help investors and financial statement users better understand the amount, timing and uncertainty of cash flows arising from leases. ASU 2016-02 will be effective for us on January 1, 2019, with early application permitted. We are currently evaluating the effect of adopting this standard.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 and Hedging: Effect of Derivative Contract Novations on Existing Hedge Accounting Relationships (ASU 2016-05)</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 xml:space="preserve">In March 2016, the FASB issued ASU 2016-05 to clarify that a change in the counterparty to a derivative instrument that has been designated as a hedging instrument under FASB 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does not, in and of itself, require dedesignation of that hedging relationship provided that all other hedge accounting criteria continue to be met. ASU 2016-05 will be effective for us on January 1, 2017, with early adoption permitted, including adoption in an interim period. We do not anticipate that our adoption of this standard will have a material impact on our consolidated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 and Hedging: Contingent Put and Call Options in Debt Instruments (ASU 2016-06)</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March 2016, the FASB issued ASU 2016-06 to clarify that in assessing whether embedded contingent put or call options that can accelerate the payment of principal on debt instruments are clearly and closely related to their debt hosts, an entity is required to apply only the four-step decision sequence in FASB ASC 815-15-25-42 (as amended by this ASU). An entity does not have to separately assess whether the event that triggers its ability to exercise the contingent option is itself indexed only to interest rates or credit risk. ASU 2016-06 will be effective for us on January 1, 2017, with early adoption permitted, including adoption in an interim period. We do not anticipate that our adoption of this standard will have a material impact on our consolidated financial statements.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 - Equity Method and Joint Ventures: Simplifying the Transition to the Equity Method of Accounting (ASU 2016-07)</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March 2016, the FASB issued ASU 2016-07 to simplify the transition to the equity method of accounting as part of its simplification initiative to reduce cost and complexity in accounting standards while maintaining or improving the usefulness of the information provided to the users of financial statements. This standard requires that an equity method investor add the cost of acquiring the additional interest in the investee to the current basis of the investor’s previously held interest and adopt the equity method of accounting as of the date the investment qualifies for equity method accounting, rather than adjusting the investment retroactively. This standard also requires that an entity that has an available-for-sale equity security that qualifies for the equity method of accounting recognize through earnings the unrealized holding gain or loss in accumulated other comprehensive income at the date the investment qualifies for use of the equity method. ASU 2016-07 will be effective for us on January 1, 2017, with early application permitted. We do not anticipate that our adoption of this standard will have a material impact on our consolidated financial statements.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from Contracts with Customers: Principal versus Agent Considerations (ASU 2016-08)</w:t>
      </w:r>
    </w:p>
    <w:p>
      <w:pPr>
        <w:spacing w:after="0" w:line="22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 xml:space="preserve">In March 2016, the FASB issued ASU 2016-08 to clarify the implementation guidance included in FASB ASC Topic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related to principal versus agent considerations and add illustrative examples to assist in the application of the guidance. When another party is</w:t>
      </w:r>
      <w:r>
        <w:rPr>
          <w:rFonts w:ascii="Arial" w:cs="Arial" w:eastAsia="Arial" w:hAnsi="Arial"/>
          <w:sz w:val="16"/>
          <w:szCs w:val="16"/>
          <w:i w:val="1"/>
          <w:iCs w:val="1"/>
          <w:color w:val="auto"/>
        </w:rPr>
        <w:t xml:space="preserve"> </w:t>
      </w:r>
      <w:r>
        <w:rPr>
          <w:rFonts w:ascii="Arial" w:cs="Arial" w:eastAsia="Arial" w:hAnsi="Arial"/>
          <w:sz w:val="16"/>
          <w:szCs w:val="16"/>
          <w:color w:val="auto"/>
        </w:rPr>
        <w:t>involved in providing goods or services to a customer, an entity is required to determine whether the nature of its promise is that of a principal -- providing the specified good or service itself, or that of an agent -- arranging for that good or service to be provided by the other party. An entity is a principal if it controls the specified good or service before that good or service is transferred to a customer. ASU 2016-08 will be effective for us on January 1, 2018, with early application permitted. We do not anticipate that our adoption of this standard will have a material impact on our consolidated financial statements.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 Stock Compensation: Improvements to Employee Shared-Based Payment Accounting (ASU 2016-09)</w:t>
      </w:r>
    </w:p>
    <w:p>
      <w:pPr>
        <w:spacing w:after="0" w:line="22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In March 2016, the FASB issued ASU 2016-09 to improve the accounting for employee share-based payments. This standard simplifies several aspects of the accounting for share-based payment award transactions, including the income tax consequences, classification of awards as either equity or liabilities, and classification on the statement of cash flows, as part of</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665" w:right="279" w:bottom="1440" w:gutter="0" w:footer="0" w:header="0"/>
        </w:sectPr>
      </w:pPr>
    </w:p>
    <w:bookmarkStart w:id="13" w:name="page14"/>
    <w:bookmarkEnd w:id="13"/>
    <w:p>
      <w:pPr>
        <w:ind w:right="260"/>
        <w:spacing w:after="0" w:line="264" w:lineRule="auto"/>
        <w:rPr>
          <w:sz w:val="20"/>
          <w:szCs w:val="20"/>
          <w:color w:val="auto"/>
        </w:rPr>
      </w:pPr>
      <w:r>
        <w:rPr>
          <w:rFonts w:ascii="Arial" w:cs="Arial" w:eastAsia="Arial" w:hAnsi="Arial"/>
          <w:sz w:val="18"/>
          <w:szCs w:val="18"/>
          <w:color w:val="auto"/>
        </w:rPr>
        <w:t>FASB’s simplification initiative to reduce cost and complexity in accounting standards while maintaining or improving the usefulness of the information provided to the users of financial statements. ASU 2016-09 will be effective for us on January 1, 2017, with early adoption permitted. We do not anticipate that our adoption of this standard will have a material impact on our consolidated financial statements.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from Contracts with Customers: Narrow-Scope Improvements and Practical Expedients (ASU 2016-12)</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 xml:space="preserve">In May 2016, the FASB issued ASU 2016-12 to amend guidance in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related to collectability, noncash consideration, presentation of sales tax, completed contracts and transition. The amendments are intended to address implementation issues that were raised by stakeholders and to provide additional practical expedients. These amendments are intended to reduce the risk of diversity in practice and the cost and complexity of applying certain aspects of the revenue standard. ASU 2016-12 will be effective for us on January 1, 2018, with early application permitted. We do not anticipate that our adoption of this standard will have a material impact on our consolidated financial statements.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 Credit Losses: Measurement of Credit Losses on Financial Instruments (ASU 2016-13)</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June 2016, the FASB issued ASU 2016-13 to improve financial reporting by requiring timelier recording of credit losses on loans and other financial instruments held by financial institutions and other organizations. This standard aligns the accounting with the economics of lending by requiring banks and other lending institutions to immediately record the full amount of credit losses that are expected in their loan portfolios, providing investors with better information about those losses on a more timely basis. The new guidance requires an organization to measure all expected credit losses for financial assets held at the reporting date based on historical experience, current conditions, and reasonable and supportable forecasts. This standard requires enhanced disclosures to help investors and other financial statement users better understand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 ASU 2016-13 will be effective for us on January 1, 2020, with early application permitted. We are currently evaluating the effect of adopting this standard.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Cash Flows: Classification of Certain Cash Receipts and Cash Payments (ASU 2016-15)</w:t>
      </w:r>
    </w:p>
    <w:p>
      <w:pPr>
        <w:spacing w:after="0" w:line="229"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 xml:space="preserve">In August 2016, the FASB issued ASU 2016-15 to clarify how certain cash receipts and cash payments are presented and classified in the statement of cash flows under FASB ASC Topic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 This standard addresses eight specific cash flow issues with the objective of reducing the existing diversity in practice. ASU 2016-15 will be effective for us on January 1, 2018, with early adoption permitted. We are currently evaluating the effect of adopting this standard.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variable interest entities (VIEs) for which we are the primary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Currently, we securitize forward and reverse residential mortgage loans involving the GSEs and Ginnie Mae and loans insured by the FHA or VA. We retain the right to service these loans and receive servicing fees based upon the securitized loan balances and certain ancillary fees, all of which are reported in Servicing and subservicing fees in the Unaudited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sell or securitize forward loans that we originate or that we purchase from third parties, generally in the form of mortgage-backed securities guaranteed by the GSEs or Ginnie Mae. Securitization usually occurs within 30 days of loan closing or purchase. We retain the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7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report the gain or loss on the transfer of the loans held for sale in Gain on loans held for sale, net in the Unaudited Consolidated Statements of Operations along with the changes in fair value of the loans and the gain or loss on any related derivatives.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4" w:name="page15"/>
    <w:bookmarkEnd w:id="14"/>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the periods ended September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1,511,991</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1,478,142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3,878,461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3,964,866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Servicing fees collected</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3,768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25,066</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3"/>
              </w:rPr>
              <w:t>Purchases of previously transferred assets, net of claims reimbursed</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2,408</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1,515,488</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1,485,627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3,887,851</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3,992,340</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In connection with these transfers, we retained MSRs of $9.8 million and $26.5 million during the three and nine months ended September 30, 2016, respectively, and $9.5 million and $27.8 million during the three and nine months ended September 30, 2015, respectively.</w:t>
      </w:r>
    </w:p>
    <w:p>
      <w:pPr>
        <w:spacing w:after="0" w:line="38"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6"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 at the dates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75,804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54,729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30,841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26,968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UPB of loans transferred</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9,768,852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7,471,025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9,875,661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7,552,958</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At September 30, 2016 and December 31, 2015, 7.3% and 8.2%, respectively, of the transferred residential loans that we service were 60 days or more past due.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17" w:lineRule="exact"/>
        <w:rPr>
          <w:sz w:val="20"/>
          <w:szCs w:val="20"/>
          <w:color w:val="auto"/>
        </w:rPr>
      </w:pPr>
    </w:p>
    <w:p>
      <w:pPr>
        <w:ind w:right="180" w:firstLine="324"/>
        <w:spacing w:after="0" w:line="289" w:lineRule="auto"/>
        <w:rPr>
          <w:sz w:val="20"/>
          <w:szCs w:val="20"/>
          <w:color w:val="auto"/>
        </w:rPr>
      </w:pPr>
      <w:r>
        <w:rPr>
          <w:rFonts w:ascii="Arial" w:cs="Arial" w:eastAsia="Arial" w:hAnsi="Arial"/>
          <w:sz w:val="16"/>
          <w:szCs w:val="16"/>
          <w:color w:val="auto"/>
        </w:rPr>
        <w:t>We are an approved issuer of Ginnie Mae Home Equity Conversion Mortgage-Backed Securities (HMBS) that are guaranteed by Ginnie Mae. We originate Home Equity Conversion Mortgages (HECM,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 Reverse mortgages, at fair value, on our Unaudited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with respect to standard representations and warranties and our contractual obligation to service the HECM loans and the HMBS.</w:t>
      </w:r>
    </w:p>
    <w:p>
      <w:pPr>
        <w:spacing w:after="0" w:line="5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measure the HECM loans and HMBS-related borrowings at fair value on a recurring basis. The changes in fair value of the HECM loans and HMBS-related borrowings are included in Other revenues in our Unaudited Consolidated Statements of Operations. Included in net fair value gains on the HECM loans and related HMBS borrowings are the interest income that we expect to be collected on the HECM loans and the interest expense that we expect to be paid on the HMBS-related borrowings.</w:t>
      </w:r>
    </w:p>
    <w:p>
      <w:pPr>
        <w:spacing w:after="0" w:line="7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At September 30, 2016, HMBS-related borrowings of $3.2 billion were outstanding. The amount of HECM loans pledged as collateral to the pools was $3.3 billion at September 30, 2016. At September 30, 2016, Loans held for investment - Reverse mortgages, at fair value of $3.3 billion included $73.6 million of originated loans which had not yet been pledged as collateral. See Note 3 – Fair Value and Note 11 – Borrowings for additional information on HMBS-related borrowings and Loans held for investment - Reverse mortgages.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make the transfers to these SPEs under the terms of our advance financing facility agreements. We classify the transferred advances on our Unaudited Consolidated Balance Sheets as Match funded advances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Debt service accounts, Match funded liabilities and amounts due to affiliates. Amounts due to affiliates are eliminated in consolidation in our Unaudited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 2016</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5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302,114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302,114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309,054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Loans held for sale, at lower of cost or fair value (b)</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37,651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37,651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104,992</w:t>
            </w: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Loans held for sale</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339,765</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339,765</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414,046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414,046</w:t>
            </w: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w w:val="97"/>
              </w:rPr>
              <w:t>Loans held for investment - Reverse mortgages, at fair value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3,339,641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3,339,641</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2,488,253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2,488,253</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and match funded advances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1,823,336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1,823,336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2,151,066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Receivables, net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279,883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279,883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286,981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286,981</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Mortgage-backed securities,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9,040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9,040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7,985</w:t>
            </w:r>
          </w:p>
        </w:tc>
      </w:tr>
      <w:tr>
        <w:trPr>
          <w:trHeight w:val="783"/>
        </w:trPr>
        <w:tc>
          <w:tcPr>
            <w:tcW w:w="5160" w:type="dxa"/>
            <w:vAlign w:val="bottom"/>
          </w:tcPr>
          <w:p>
            <w:pPr>
              <w:spacing w:after="0"/>
              <w:rPr>
                <w:sz w:val="24"/>
                <w:szCs w:val="24"/>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 2016</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liabilities: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Match funded liabilities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1,365,532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1,364,988</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1,584,049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1,581,786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HMBS-related borrowings, at fair value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3,224,610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3,224,610</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2,391,362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2,391,362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liability - MSRs pledged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494,532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494,532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541,704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541,704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108,877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156,189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131,940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Financing liabilities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3,828,019</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3,802,168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3,089,255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3,065,006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Arial" w:cs="Arial" w:eastAsia="Arial" w:hAnsi="Arial"/>
                <w:sz w:val="18"/>
                <w:szCs w:val="18"/>
                <w:color w:val="auto"/>
              </w:rPr>
              <w:t>Other secured borrowings:</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secured term loan (c)(d)</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310,278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321,365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377,091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397,956</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352,892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352,892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385,320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385,320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Other secured borrowings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663,170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674,257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762,411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783,276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unsecured notes (c)(d)</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346,511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312,946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345,511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318,063</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financial instruments assets (liabilities) (a):</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10,827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Forward mortgage-backed securities trades</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(2,525)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rate caps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696,108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696,108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761,190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 (c)(e)</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340,561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357,817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377,379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461,555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Mortgage servicing rights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1,036,669</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1,053,925</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1,138,569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1,222,745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Disclosed, but not carried, at fair value.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11 – Borrowings for additional information</w:t>
      </w:r>
      <w:r>
        <w:rPr>
          <w:rFonts w:ascii="Arial" w:cs="Arial" w:eastAsia="Arial" w:hAnsi="Arial"/>
          <w:sz w:val="16"/>
          <w:szCs w:val="16"/>
          <w:b w:val="1"/>
          <w:bCs w:val="1"/>
          <w:color w:val="auto"/>
        </w:rPr>
        <w:t>.</w:t>
      </w:r>
    </w:p>
    <w:p>
      <w:pPr>
        <w:spacing w:after="0" w:line="5" w:lineRule="exact"/>
        <w:rPr>
          <w:rFonts w:ascii="Arial" w:cs="Arial" w:eastAsia="Arial" w:hAnsi="Arial"/>
          <w:sz w:val="16"/>
          <w:szCs w:val="16"/>
          <w:color w:val="auto"/>
        </w:rPr>
      </w:pPr>
    </w:p>
    <w:p>
      <w:pPr>
        <w:ind w:left="500" w:right="20" w:hanging="492"/>
        <w:spacing w:after="0" w:line="250"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net carrying value at September 30, 2016 and December 31, 2015 is net of the valuation allowance on the impaired government-insured stratum of our amortization method MSRs, which is measured at fair value on a non-recurring basis. Before applying the valuation allowance of $54.5 million, the carrying value of this stratum at September 30, 2016 was $172.4 million. At December 31, 2015, the carrying value of this stratum was $146.5 million before applying the valuation allowance of $17.3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17" w:name="page18"/>
    <w:bookmarkEnd w:id="17"/>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3120" w:type="dxa"/>
            <w:vAlign w:val="bottom"/>
            <w:gridSpan w:val="3"/>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252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w w:val="89"/>
              </w:rPr>
              <w:t>Three months ended September</w:t>
            </w:r>
          </w:p>
        </w:tc>
        <w:tc>
          <w:tcPr>
            <w:tcW w:w="130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b w:val="1"/>
                <w:bCs w:val="1"/>
                <w:color w:val="auto"/>
              </w:rPr>
              <w:t>30, 2016</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0"/>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3,057,564</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(2,935,928)</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9,063</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(495,126)</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700,668</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336,441</w:t>
            </w:r>
          </w:p>
        </w:tc>
      </w:tr>
      <w:tr>
        <w:trPr>
          <w:trHeight w:val="209"/>
        </w:trPr>
        <w:tc>
          <w:tcPr>
            <w:tcW w:w="2520" w:type="dxa"/>
            <w:vAlign w:val="bottom"/>
            <w:gridSpan w:val="2"/>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638</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509,900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(297,457)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212,393</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(289,428)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(225,715)</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220,472</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(234,338)</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(12,689)</w:t>
            </w:r>
          </w:p>
        </w:tc>
      </w:tr>
      <w:tr>
        <w:trPr>
          <w:trHeight w:val="209"/>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gains and (losses):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61,605</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(54,344)</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2,688</w:t>
            </w:r>
          </w:p>
        </w:tc>
      </w:tr>
      <w:tr>
        <w:trPr>
          <w:trHeight w:val="209"/>
        </w:trPr>
        <w:tc>
          <w:tcPr>
            <w:tcW w:w="2520" w:type="dxa"/>
            <w:vAlign w:val="bottom"/>
            <w:gridSpan w:val="2"/>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252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3,339,641</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(3,224,610)</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9,040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(494,532)</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696,108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326,440</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3120" w:type="dxa"/>
            <w:vAlign w:val="bottom"/>
            <w:gridSpan w:val="3"/>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252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w w:val="89"/>
              </w:rPr>
              <w:t>Three months ended September</w:t>
            </w:r>
          </w:p>
        </w:tc>
        <w:tc>
          <w:tcPr>
            <w:tcW w:w="130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b w:val="1"/>
                <w:bCs w:val="1"/>
                <w:color w:val="auto"/>
              </w:rPr>
              <w:t>30, 2015</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0"/>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2,097,192</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(1,987,998)</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8,157</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(581,219)</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814,450</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350,737</w:t>
            </w:r>
          </w:p>
        </w:tc>
      </w:tr>
      <w:tr>
        <w:trPr>
          <w:trHeight w:val="209"/>
        </w:trPr>
        <w:tc>
          <w:tcPr>
            <w:tcW w:w="2520" w:type="dxa"/>
            <w:vAlign w:val="bottom"/>
            <w:gridSpan w:val="2"/>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2,084</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250,600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(271,068)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(20,468)</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(2,329)</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(41,582)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43,725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23,303</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209,018</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(227,343)</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21,160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2,590</w:t>
            </w:r>
          </w:p>
        </w:tc>
      </w:tr>
      <w:tr>
        <w:trPr>
          <w:trHeight w:val="209"/>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gains and (losses):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13,305</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(24,777)</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(26,089)</w:t>
            </w:r>
          </w:p>
        </w:tc>
      </w:tr>
      <w:tr>
        <w:trPr>
          <w:trHeight w:val="209"/>
        </w:trPr>
        <w:tc>
          <w:tcPr>
            <w:tcW w:w="2520" w:type="dxa"/>
            <w:vAlign w:val="bottom"/>
            <w:gridSpan w:val="2"/>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252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2,319,515</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(2,229,604)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8,541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(560,059)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787,344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327,238</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backed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378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Nine months ended September 30, 2016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2,488,253</w:t>
            </w: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(2,391,362)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7,985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(541,704)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326,404</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40" w:type="dxa"/>
            <w:vAlign w:val="bottom"/>
            <w:shd w:val="clear" w:color="auto" w:fill="EAF9E8"/>
          </w:tcPr>
          <w:p>
            <w:pPr>
              <w:spacing w:after="0"/>
              <w:rPr>
                <w:sz w:val="18"/>
                <w:szCs w:val="18"/>
                <w:color w:val="auto"/>
              </w:rPr>
            </w:pPr>
          </w:p>
        </w:tc>
        <w:tc>
          <w:tcPr>
            <w:tcW w:w="2480" w:type="dxa"/>
            <w:vAlign w:val="bottom"/>
            <w:shd w:val="clear" w:color="auto" w:fill="EAF9E8"/>
          </w:tcPr>
          <w:p>
            <w:pPr>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0"/>
                <w:szCs w:val="20"/>
                <w:color w:val="auto"/>
              </w:rPr>
            </w:pPr>
          </w:p>
        </w:tc>
        <w:tc>
          <w:tcPr>
            <w:tcW w:w="40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782</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1,185,565</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(820,438)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363,802</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(528,263)</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161,995</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47,172</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(319,177)</w:t>
            </w:r>
          </w:p>
        </w:tc>
      </w:tr>
      <w:tr>
        <w:trPr>
          <w:trHeight w:val="237"/>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657,302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(658,443)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45,259</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40" w:type="dxa"/>
            <w:vAlign w:val="bottom"/>
            <w:shd w:val="clear" w:color="auto" w:fill="EAF9E8"/>
          </w:tcPr>
          <w:p>
            <w:pPr>
              <w:spacing w:after="0"/>
              <w:rPr>
                <w:sz w:val="18"/>
                <w:szCs w:val="18"/>
                <w:color w:val="auto"/>
              </w:rPr>
            </w:pPr>
          </w:p>
        </w:tc>
        <w:tc>
          <w:tcPr>
            <w:tcW w:w="2480" w:type="dxa"/>
            <w:vAlign w:val="bottom"/>
            <w:shd w:val="clear" w:color="auto" w:fill="EAF9E8"/>
          </w:tcPr>
          <w:p>
            <w:pPr>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gains and (losses): (2)</w:t>
            </w:r>
          </w:p>
        </w:tc>
        <w:tc>
          <w:tcPr>
            <w:tcW w:w="140" w:type="dxa"/>
            <w:vAlign w:val="bottom"/>
            <w:tcBorders>
              <w:bottom w:val="single" w:sz="8" w:color="EAF9E8"/>
            </w:tcBorders>
            <w:shd w:val="clear" w:color="auto" w:fill="EAF9E8"/>
          </w:tcPr>
          <w:p>
            <w:pPr>
              <w:spacing w:after="0"/>
              <w:rPr>
                <w:sz w:val="20"/>
                <w:szCs w:val="20"/>
                <w:color w:val="auto"/>
              </w:rPr>
            </w:pPr>
          </w:p>
        </w:tc>
        <w:tc>
          <w:tcPr>
            <w:tcW w:w="40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194,086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(174,805)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(63,609)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(45,223)</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40" w:type="dxa"/>
            <w:vAlign w:val="bottom"/>
            <w:shd w:val="clear" w:color="auto" w:fill="EAF9E8"/>
          </w:tcPr>
          <w:p>
            <w:pPr>
              <w:spacing w:after="0"/>
              <w:rPr>
                <w:sz w:val="18"/>
                <w:szCs w:val="18"/>
                <w:color w:val="auto"/>
              </w:rPr>
            </w:pPr>
          </w:p>
        </w:tc>
        <w:tc>
          <w:tcPr>
            <w:tcW w:w="2480" w:type="dxa"/>
            <w:vAlign w:val="bottom"/>
            <w:shd w:val="clear" w:color="auto" w:fill="EAF9E8"/>
          </w:tcPr>
          <w:p>
            <w:pPr>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57"/>
        </w:trPr>
        <w:tc>
          <w:tcPr>
            <w:tcW w:w="25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EAF9E8"/>
            </w:tcBorders>
            <w:shd w:val="clear" w:color="auto" w:fill="EAF9E8"/>
          </w:tcPr>
          <w:p>
            <w:pPr>
              <w:spacing w:after="0"/>
              <w:rPr>
                <w:sz w:val="22"/>
                <w:szCs w:val="22"/>
                <w:color w:val="auto"/>
              </w:rPr>
            </w:pPr>
          </w:p>
        </w:tc>
        <w:tc>
          <w:tcPr>
            <w:tcW w:w="40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Pr>
          <w:p>
            <w:pPr>
              <w:spacing w:after="0"/>
              <w:rPr>
                <w:sz w:val="22"/>
                <w:szCs w:val="22"/>
                <w:color w:val="auto"/>
              </w:rPr>
            </w:pPr>
          </w:p>
        </w:tc>
        <w:tc>
          <w:tcPr>
            <w:tcW w:w="248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3,339,641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(3,224,610)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(494,532)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696,108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326,440</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backed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Pledged (1)</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378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Nine months ended September 30, 2015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1,550,141</w:t>
            </w: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(1,444,252)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7,335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(614,441)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(406,749)</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40" w:type="dxa"/>
            <w:vAlign w:val="bottom"/>
            <w:shd w:val="clear" w:color="auto" w:fill="EAF9E8"/>
          </w:tcPr>
          <w:p>
            <w:pPr>
              <w:spacing w:after="0"/>
              <w:rPr>
                <w:sz w:val="18"/>
                <w:szCs w:val="18"/>
                <w:color w:val="auto"/>
              </w:rPr>
            </w:pPr>
          </w:p>
        </w:tc>
        <w:tc>
          <w:tcPr>
            <w:tcW w:w="2480" w:type="dxa"/>
            <w:vAlign w:val="bottom"/>
            <w:shd w:val="clear" w:color="auto" w:fill="EAF9E8"/>
          </w:tcPr>
          <w:p>
            <w:pPr>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0"/>
                <w:szCs w:val="20"/>
                <w:color w:val="auto"/>
              </w:rPr>
            </w:pPr>
          </w:p>
        </w:tc>
        <w:tc>
          <w:tcPr>
            <w:tcW w:w="40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2,201</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781,002</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(803,924)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(24,061)</w:t>
            </w:r>
          </w:p>
        </w:tc>
      </w:tr>
      <w:tr>
        <w:trPr>
          <w:trHeight w:val="229"/>
        </w:trPr>
        <w:tc>
          <w:tcPr>
            <w:tcW w:w="40" w:type="dxa"/>
            <w:vAlign w:val="bottom"/>
          </w:tcPr>
          <w:p>
            <w:pPr>
              <w:spacing w:after="0"/>
              <w:rPr>
                <w:sz w:val="19"/>
                <w:szCs w:val="19"/>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Transfer from MSRs, at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400"/>
              <w:spacing w:after="0"/>
              <w:rPr>
                <w:sz w:val="20"/>
                <w:szCs w:val="20"/>
                <w:color w:val="auto"/>
              </w:rPr>
            </w:pPr>
            <w:r>
              <w:rPr>
                <w:rFonts w:ascii="Arial" w:cs="Arial" w:eastAsia="Arial" w:hAnsi="Arial"/>
                <w:sz w:val="18"/>
                <w:szCs w:val="18"/>
                <w:color w:val="auto"/>
              </w:rPr>
              <w:t>amortized cost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839,157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839,157</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(71,318)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(71,318)</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(105,505)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107,522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54,382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56,745</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675,497</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(696,402)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54,382</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2,547</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766,700</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802,724</w:t>
            </w:r>
          </w:p>
        </w:tc>
      </w:tr>
      <w:tr>
        <w:trPr>
          <w:trHeight w:val="209"/>
        </w:trPr>
        <w:tc>
          <w:tcPr>
            <w:tcW w:w="4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gains and (losses) (2):</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93,877</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(88,950)</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(73,257)</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(68,737)</w:t>
            </w:r>
          </w:p>
        </w:tc>
      </w:tr>
      <w:tr>
        <w:trPr>
          <w:trHeight w:val="209"/>
        </w:trPr>
        <w:tc>
          <w:tcPr>
            <w:tcW w:w="4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252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2,319,515</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(2,229,604)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8,541</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(560,059)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787,344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327,238</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left="500" w:right="260" w:hanging="492"/>
        <w:spacing w:after="0" w:line="252"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event of a transfer to another party of servicing related to Rights to MSRs, we are required to reimburse NRZ at predetermined contractual rates for the loss of servicing revenues. Settlements for Financing liability - MSRs pledged for the nine months ended September 30, 2015 include $2.2 million of such reimbursements. There have been no such payments in 2016.</w:t>
      </w:r>
    </w:p>
    <w:p>
      <w:pPr>
        <w:spacing w:after="0" w:line="1" w:lineRule="exact"/>
        <w:rPr>
          <w:rFonts w:ascii="Arial" w:cs="Arial" w:eastAsia="Arial" w:hAnsi="Arial"/>
          <w:sz w:val="16"/>
          <w:szCs w:val="16"/>
          <w:color w:val="auto"/>
        </w:rPr>
      </w:pPr>
    </w:p>
    <w:p>
      <w:pPr>
        <w:ind w:left="500" w:right="320" w:hanging="492"/>
        <w:spacing w:after="0" w:line="252"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losses attributable to derivative financial instruments still held at September 30, 2016 and September 30, 2015 were $0.5 million and $1.3 million for the nine months ended September 30, 2016 and 2015, respectively. Total losses attributable to MSRs still held at September 30, 2016 and September 30, 2015 were $62.4 million and $65.1 million for the nine months ended September 30, 2016 and 2015, respectively.</w:t>
      </w:r>
    </w:p>
    <w:p>
      <w:pPr>
        <w:spacing w:after="0" w:line="77"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originate and purchase residential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 Reverse Mortgages</w:t>
      </w:r>
    </w:p>
    <w:p>
      <w:pPr>
        <w:spacing w:after="0" w:line="121" w:lineRule="exact"/>
        <w:rPr>
          <w:sz w:val="20"/>
          <w:szCs w:val="20"/>
          <w:color w:val="auto"/>
        </w:rPr>
      </w:pPr>
    </w:p>
    <w:p>
      <w:pPr>
        <w:jc w:val="both"/>
        <w:ind w:right="80" w:firstLine="324"/>
        <w:spacing w:after="0" w:line="302" w:lineRule="auto"/>
        <w:rPr>
          <w:sz w:val="20"/>
          <w:szCs w:val="20"/>
          <w:color w:val="auto"/>
        </w:rPr>
      </w:pPr>
      <w:r>
        <w:rPr>
          <w:rFonts w:ascii="Arial" w:cs="Arial" w:eastAsia="Arial" w:hAnsi="Arial"/>
          <w:sz w:val="16"/>
          <w:szCs w:val="16"/>
          <w:color w:val="auto"/>
        </w:rPr>
        <w:t>We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September 30, 2016 valuation include:</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Life in years ranging from 5.69 to 9.02 (weighted average of 6.37);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Conditional repayment rate ranging from 5.01% to 53.75% (weighted average of 20.05%);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Discount rate of 2.53%.</w:t>
      </w:r>
    </w:p>
    <w:p>
      <w:pPr>
        <w:spacing w:after="0" w:line="10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internal understanding of the processes and assumptions used to develop the prices based on our ongoing due diligence, which includes regular discussions with the valuation experts. We believe that the procedures executed by the valuation experts, supported by our internal verification and analytical procedures, provide reasonable assurance that the prices used in our Unaudited Consolidated Financial Statements comply with the accounting guidance for fair value measurements and disclosures and reflect the assumptions that a market participant would use.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88"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17"/>
          <w:szCs w:val="17"/>
          <w:color w:val="auto"/>
        </w:rPr>
        <w:t>We evaluate the reasonableness of our third-party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38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Mortgage prepayment speeds</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w w:val="90"/>
              </w:rPr>
              <w:t>Interest rate used for computing the cost of financing</w:t>
            </w:r>
          </w:p>
        </w:tc>
      </w:tr>
      <w:tr>
        <w:trPr>
          <w:trHeight w:val="230"/>
        </w:trPr>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servicing advances</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Cost of servicing</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Interest rate used for computing float earnings</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Discount rate</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Compensating interest expense</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Delinquency rates</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Collection rate of other ancillary fees</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estimate the fair value of MSRs carried at amortized cost using a process that involves either actual sale prices obtained or the use of independent third-party valuation experts, supported by commercially available discounted cash flow models and analysis of current market data. To provide greater price transparency to investors, we disclose actual Ocwen sale prices for orderly transactions where available in lieu of third-party valuations.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September 30, 2016 valuation include:</w:t>
      </w:r>
    </w:p>
    <w:p>
      <w:pPr>
        <w:spacing w:after="0" w:line="375"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6460" w:type="dxa"/>
            <w:vAlign w:val="bottom"/>
            <w:shd w:val="clear" w:color="auto" w:fill="EAF9E8"/>
          </w:tcPr>
          <w:p>
            <w:pPr>
              <w:ind w:left="20"/>
              <w:spacing w:after="0"/>
              <w:rPr>
                <w:sz w:val="20"/>
                <w:szCs w:val="20"/>
                <w:color w:val="auto"/>
              </w:rPr>
            </w:pPr>
            <w:r>
              <w:rPr>
                <w:rFonts w:ascii="Arial" w:cs="Arial" w:eastAsia="Arial" w:hAnsi="Arial"/>
                <w:sz w:val="18"/>
                <w:szCs w:val="18"/>
                <w:color w:val="auto"/>
              </w:rPr>
              <w:t>Weighted average prepayment speed</w:t>
            </w:r>
          </w:p>
        </w:tc>
        <w:tc>
          <w:tcPr>
            <w:tcW w:w="3540" w:type="dxa"/>
            <w:vAlign w:val="bottom"/>
            <w:shd w:val="clear" w:color="auto" w:fill="EAF9E8"/>
          </w:tcPr>
          <w:p>
            <w:pPr>
              <w:spacing w:after="0"/>
              <w:rPr>
                <w:sz w:val="23"/>
                <w:szCs w:val="23"/>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13.89%</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Weighted average delinquency rate</w:t>
            </w:r>
          </w:p>
        </w:tc>
        <w:tc>
          <w:tcPr>
            <w:tcW w:w="35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7"/>
        </w:trPr>
        <w:tc>
          <w:tcPr>
            <w:tcW w:w="6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Advance financing cost</w:t>
            </w:r>
          </w:p>
        </w:tc>
        <w:tc>
          <w:tcPr>
            <w:tcW w:w="35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5-year swap</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Interest rate for computing float earnings</w:t>
            </w:r>
          </w:p>
        </w:tc>
        <w:tc>
          <w:tcPr>
            <w:tcW w:w="35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5-year swap</w:t>
            </w:r>
          </w:p>
        </w:tc>
      </w:tr>
      <w:tr>
        <w:trPr>
          <w:trHeight w:val="27"/>
        </w:trPr>
        <w:tc>
          <w:tcPr>
            <w:tcW w:w="6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discount rate</w:t>
            </w:r>
          </w:p>
        </w:tc>
        <w:tc>
          <w:tcPr>
            <w:tcW w:w="35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8.85%</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Weighted average cost to service (in dollars)</w:t>
            </w:r>
          </w:p>
        </w:tc>
        <w:tc>
          <w:tcPr>
            <w:tcW w:w="3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108</w:t>
            </w:r>
          </w:p>
        </w:tc>
      </w:tr>
    </w:tbl>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the underlying loans into the applicable strata. Our strata are defined as conventional and government-insured.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Ocwen sale, including transactions where we have executed letters of intent, in which case the fair value of the MSRs is carried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in their model validation.</w:t>
      </w:r>
    </w:p>
    <w:p>
      <w:pPr>
        <w:spacing w:after="0" w:line="24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the Non-Agency MSRs via a market rate indexed cost of advance funding. Other key assumptions used in the valuation of these MSRs include delinquency rates and discount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assumptions used in the September 30, 2016 valuation include: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Agency</w:t>
            </w:r>
          </w:p>
        </w:tc>
        <w:tc>
          <w:tcPr>
            <w:tcW w:w="180" w:type="dxa"/>
            <w:vAlign w:val="bottom"/>
          </w:tcPr>
          <w:p>
            <w:pPr>
              <w:spacing w:after="0"/>
              <w:rPr>
                <w:sz w:val="20"/>
                <w:szCs w:val="20"/>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Non Agency</w:t>
            </w:r>
          </w:p>
        </w:tc>
      </w:tr>
      <w:tr>
        <w:trPr>
          <w:trHeight w:val="27"/>
        </w:trPr>
        <w:tc>
          <w:tcPr>
            <w:tcW w:w="7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3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29.35%</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8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320" w:type="dxa"/>
            <w:vAlign w:val="bottom"/>
            <w:shd w:val="clear" w:color="auto" w:fill="EAF9E8"/>
          </w:tcPr>
          <w:p>
            <w:pPr>
              <w:spacing w:after="0"/>
              <w:rPr>
                <w:sz w:val="19"/>
                <w:szCs w:val="19"/>
                <w:color w:val="auto"/>
              </w:rPr>
            </w:pPr>
          </w:p>
        </w:tc>
        <w:tc>
          <w:tcPr>
            <w:tcW w:w="144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5-year swap</w:t>
            </w:r>
          </w:p>
        </w:tc>
        <w:tc>
          <w:tcPr>
            <w:tcW w:w="180" w:type="dxa"/>
            <w:vAlign w:val="bottom"/>
            <w:shd w:val="clear" w:color="auto" w:fill="EAF9E8"/>
          </w:tcPr>
          <w:p>
            <w:pPr>
              <w:spacing w:after="0"/>
              <w:rPr>
                <w:sz w:val="19"/>
                <w:szCs w:val="19"/>
                <w:color w:val="auto"/>
              </w:rPr>
            </w:pPr>
          </w:p>
        </w:tc>
        <w:tc>
          <w:tcPr>
            <w:tcW w:w="15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1-Month LIBOR</w:t>
            </w:r>
          </w:p>
        </w:tc>
      </w:tr>
      <w:tr>
        <w:trPr>
          <w:trHeight w:val="237"/>
        </w:trPr>
        <w:tc>
          <w:tcPr>
            <w:tcW w:w="798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(1ML) plus 3.5%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320" w:type="dxa"/>
            <w:vAlign w:val="bottom"/>
          </w:tcPr>
          <w:p>
            <w:pPr>
              <w:spacing w:after="0"/>
              <w:rPr>
                <w:sz w:val="21"/>
                <w:szCs w:val="21"/>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5-year swap</w:t>
            </w:r>
          </w:p>
        </w:tc>
        <w:tc>
          <w:tcPr>
            <w:tcW w:w="18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1ML</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15.08%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308</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ectPr>
          <w:pgSz w:w="11900" w:h="16838" w:orient="portrait"/>
          <w:cols w:equalWidth="0" w:num="1">
            <w:col w:w="11420"/>
          </w:cols>
          <w:pgMar w:left="240" w:top="69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692"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6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subordinate and residual securities are not actively traded, and therefore, we estimate the fair value of these securities 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Changes in the fair value of our investment in subordinate and residual securities are recognized in Other, net in the Unaudited Consolidated Statements of Operations.</w:t>
      </w:r>
    </w:p>
    <w:p>
      <w:pPr>
        <w:spacing w:after="0" w:line="19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Discount rates for the subordinate and residual securities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September 30, 2016 valuation include:</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Life in years ranging from 4.67 to 9.02 (weighted average of 5.30);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Conditional repayment rate ranging from 5.01% to 53.75% (weighted average of 20.05%);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Discount rate of 1.97%.</w:t>
      </w:r>
    </w:p>
    <w:p>
      <w:pPr>
        <w:spacing w:after="0" w:line="103" w:lineRule="exact"/>
        <w:rPr>
          <w:sz w:val="20"/>
          <w:szCs w:val="20"/>
          <w:color w:val="auto"/>
        </w:rPr>
      </w:pPr>
    </w:p>
    <w:p>
      <w:pPr>
        <w:ind w:right="164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w:t>
      </w:r>
    </w:p>
    <w:p>
      <w:pPr>
        <w:spacing w:after="0" w:line="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periodically sell Rights to MSRs and the related servicing advances. Because we have retained legal title to the MSRs, the sales of Rights to MSRs are accounted for as financings. We initially establish the value of the Financing Liability - MSRs Pledged based on the price at which the Rights to MSRs are sold. Thereafter, the carrying value of the Financing Liability - MSRs pledged is adjusted to fair value at each reporting date. We determine fair value by applying the price of the underlying MSRs to the remaining principal balance related to the underlying MSRs. Since we have elected fair value for our portfolio of non-Agency MSRs, future fair value changes in the Financing Liability - MSRs Pledged will be largely offset by changes in the fair value of the related MSRs.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88"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9360" w:type="dxa"/>
            <w:vAlign w:val="bottom"/>
          </w:tcPr>
          <w:p>
            <w:pPr>
              <w:ind w:left="340"/>
              <w:spacing w:after="0"/>
              <w:rPr>
                <w:sz w:val="20"/>
                <w:szCs w:val="20"/>
                <w:color w:val="auto"/>
              </w:rPr>
            </w:pPr>
            <w:r>
              <w:rPr>
                <w:rFonts w:ascii="Arial" w:cs="Arial" w:eastAsia="Arial" w:hAnsi="Arial"/>
                <w:sz w:val="18"/>
                <w:szCs w:val="18"/>
                <w:color w:val="auto"/>
                <w:w w:val="91"/>
              </w:rPr>
              <w:t>The more significant assumptions used in determination of the price of the underlying MSRs at September 30, 2016 include:</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3"/>
        </w:trPr>
        <w:tc>
          <w:tcPr>
            <w:tcW w:w="9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0"/>
        </w:trPr>
        <w:tc>
          <w:tcPr>
            <w:tcW w:w="9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2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29.81%</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2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1ML plus 3.5%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24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1ML</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2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15.03%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314</w:t>
            </w:r>
          </w:p>
        </w:tc>
      </w:tr>
      <w:tr>
        <w:trPr>
          <w:trHeight w:val="351"/>
        </w:trPr>
        <w:tc>
          <w:tcPr>
            <w:tcW w:w="9360" w:type="dxa"/>
            <w:vAlign w:val="bottom"/>
          </w:tcPr>
          <w:p>
            <w:pPr>
              <w:ind w:left="340"/>
              <w:spacing w:after="0"/>
              <w:rPr>
                <w:sz w:val="20"/>
                <w:szCs w:val="20"/>
                <w:color w:val="auto"/>
              </w:rPr>
            </w:pPr>
            <w:r>
              <w:rPr>
                <w:rFonts w:ascii="Arial" w:cs="Arial" w:eastAsia="Arial" w:hAnsi="Arial"/>
                <w:sz w:val="18"/>
                <w:szCs w:val="18"/>
                <w:color w:val="auto"/>
                <w:w w:val="91"/>
              </w:rPr>
              <w:t>Significant increases or decreases in these assumptions in isolation would result in a significantly higher or lower fair value.</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w:t>
      </w:r>
    </w:p>
    <w:p>
      <w:pPr>
        <w:spacing w:after="0" w:line="11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based the fair value on quoted prices in a market with limited trading activity.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 into forward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79"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 on variable rate debt issued on servicing advance financing facilities from increases in one-month LIBOR interest rates. The fair value for interest rate caps is based on counterparty market prices and adjusted for counterparty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Sales of Advances and MSRs</w:t>
      </w:r>
    </w:p>
    <w:p>
      <w:pPr>
        <w:spacing w:after="0" w:line="121"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In order to efficiently finance our assets, streamline our operations and generate liquidity, we sell MSRs, Rights to MSRs and servicing advances to market participants. We may retain the right to subservice loans when we sell MSRs. In connection with sales of Rights to MSRs, we retain legal ownership of the MSRs and continue to service the related mortgage loans until such time as all necessary consents to a transfer of the MSRs are received.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color w:val="auto"/>
        </w:rPr>
        <w:t>The following table provides a summary of the MSRs and advances sold during the nine months ended September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2015</w:t>
            </w:r>
          </w:p>
        </w:tc>
      </w:tr>
      <w:tr>
        <w:trPr>
          <w:trHeight w:val="27"/>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Advances and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Advances and</w:t>
            </w:r>
          </w:p>
        </w:tc>
      </w:tr>
      <w:tr>
        <w:trPr>
          <w:trHeight w:val="216"/>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Match Funded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Match Funded</w:t>
            </w:r>
          </w:p>
        </w:tc>
      </w:tr>
      <w:tr>
        <w:trPr>
          <w:trHeight w:val="234"/>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MSRs</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Advances</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MSRs</w:t>
            </w:r>
          </w:p>
        </w:tc>
        <w:tc>
          <w:tcPr>
            <w:tcW w:w="120" w:type="dxa"/>
            <w:vAlign w:val="bottom"/>
          </w:tcPr>
          <w:p>
            <w:pPr>
              <w:spacing w:after="0"/>
              <w:rPr>
                <w:sz w:val="20"/>
                <w:szCs w:val="20"/>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Advances</w:t>
            </w:r>
          </w:p>
        </w:tc>
      </w:tr>
      <w:tr>
        <w:trPr>
          <w:trHeight w:val="27"/>
        </w:trPr>
        <w:tc>
          <w:tcPr>
            <w:tcW w:w="53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Sales price of assets sold and adjustments:</w:t>
            </w: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Accounted for as a sale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28,126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30,370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780,410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321,164</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Amount due from purchaser at September 30 (2)</w:t>
            </w:r>
          </w:p>
        </w:tc>
        <w:tc>
          <w:tcPr>
            <w:tcW w:w="2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(2,128)</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(98,545)</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(35,226)</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auto"/>
                <w:w w:val="93"/>
              </w:rPr>
              <w:t>Amounts paid to purchaser for estimated representation and warranty</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5360" w:type="dxa"/>
            <w:vAlign w:val="bottom"/>
          </w:tcPr>
          <w:p>
            <w:pPr>
              <w:ind w:left="340"/>
              <w:spacing w:after="0"/>
              <w:rPr>
                <w:sz w:val="20"/>
                <w:szCs w:val="20"/>
                <w:color w:val="auto"/>
              </w:rPr>
            </w:pPr>
            <w:r>
              <w:rPr>
                <w:rFonts w:ascii="Arial" w:cs="Arial" w:eastAsia="Arial" w:hAnsi="Arial"/>
                <w:sz w:val="18"/>
                <w:szCs w:val="18"/>
                <w:color w:val="auto"/>
              </w:rPr>
              <w:t>obligations, compensatory fees and related indemnification</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5360" w:type="dxa"/>
            <w:vAlign w:val="bottom"/>
          </w:tcPr>
          <w:p>
            <w:pPr>
              <w:ind w:left="340"/>
              <w:spacing w:after="0"/>
              <w:rPr>
                <w:sz w:val="20"/>
                <w:szCs w:val="20"/>
                <w:color w:val="auto"/>
              </w:rPr>
            </w:pPr>
            <w:r>
              <w:rPr>
                <w:rFonts w:ascii="Arial" w:cs="Arial" w:eastAsia="Arial" w:hAnsi="Arial"/>
                <w:sz w:val="18"/>
                <w:szCs w:val="18"/>
                <w:color w:val="auto"/>
              </w:rPr>
              <w:t>obligations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(83,806)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36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4"/>
              </w:rPr>
              <w:t>Amounts received from purchaser for items outstanding at the end of</w:t>
            </w: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57"/>
        </w:trPr>
        <w:tc>
          <w:tcPr>
            <w:tcW w:w="536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the previous year</w:t>
            </w: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18,448</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46,740</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360" w:type="dxa"/>
            <w:vAlign w:val="bottom"/>
          </w:tcPr>
          <w:p>
            <w:pPr>
              <w:ind w:left="280"/>
              <w:spacing w:after="0"/>
              <w:rPr>
                <w:sz w:val="20"/>
                <w:szCs w:val="20"/>
                <w:color w:val="auto"/>
              </w:rPr>
            </w:pPr>
            <w:r>
              <w:rPr>
                <w:rFonts w:ascii="Arial" w:cs="Arial" w:eastAsia="Arial" w:hAnsi="Arial"/>
                <w:sz w:val="18"/>
                <w:szCs w:val="18"/>
                <w:color w:val="auto"/>
              </w:rPr>
              <w:t>Total net cash received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45,254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74,982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598,059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285,938</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80" w:hanging="492"/>
        <w:spacing w:after="0" w:line="255"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the nine months ended September 30, 2016 and 2015, we sold MSRs relating to loans with a UPB of $3.6 billion (Agency and non-Agency) and $86.4 billion (Agency), respectively.</w:t>
      </w:r>
    </w:p>
    <w:p>
      <w:pPr>
        <w:spacing w:after="0" w:line="1" w:lineRule="exact"/>
        <w:rPr>
          <w:rFonts w:ascii="Arial" w:cs="Arial" w:eastAsia="Arial" w:hAnsi="Arial"/>
          <w:sz w:val="16"/>
          <w:szCs w:val="16"/>
          <w:color w:val="auto"/>
        </w:rPr>
      </w:pPr>
    </w:p>
    <w:p>
      <w:pPr>
        <w:ind w:left="500" w:right="420" w:hanging="492"/>
        <w:spacing w:after="0" w:line="257"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September 30, 2016, the total amount due from sales of MSRs and advances, which is reported in Receivables, net, is $31.6 million and consists principally of amounts related to sales completed in 2015.</w:t>
      </w:r>
    </w:p>
    <w:p>
      <w:pPr>
        <w:spacing w:after="0" w:line="18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2012 and 2013, we sold Rights to MSRs and the related servicing advances to Home Loan Servicing Solutions, Ltd. (HLSS). On April 6, 2015, HLSS closed on the sale of substantially all of its assets to NRZ. References to NRZ in these unaudited consolidated financial statements include HLSS for periods prior to April 6, 2015 because, following HLSS’ sale of substantially all of its assets on April 6, 2015, NRZ, through its subsidiaries, is the owner of the Rights to MSRs and has assumed all rights and obligations under the associated agreements. We refer to the sale of Rights to MSRs and the related servicing advances as the NRZ/HLSS Transactions. As of September 30, 2016, these Rights to MSRs relate to approximately $123.2 billion in UPB of our non-Agency MSRs.</w:t>
      </w:r>
    </w:p>
    <w:p>
      <w:pPr>
        <w:spacing w:after="0" w:line="8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Pursuant to our agreements with NRZ, NRZ has assumed the obligation to fund new servicing advances with respect to the Rights to MSRs. We continue to service the loans for which the Rights to MSRs have been sold to NRZ. Accordingly, in the event NRZ were unable to fulfill its advance funding obligations, as the servicer under our servicing agreements with the residential mortgage backed securitization trusts, we would be contractually obligated to fund such advances under those servicing agreements. At September 30, 2016, NRZ had outstanding advances of approximately $4.3 billion in connection with the Rights to MSRs.</w:t>
      </w:r>
    </w:p>
    <w:p>
      <w:pPr>
        <w:spacing w:after="0" w:line="8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servicing fees payable under the servicing agreements underlying the Rights to MSRs are apportioned between NRZ and us as provided in our agreements with NRZ. NRZ retains a fee based on the UPB of the loans serviced, and OLS receives certain fees, including a performance fee based on servicing fees actually paid less an amount calculated based on the amount of servicing advances and cost of financing those advances. The apportionment of these fees with respect to each tranche of Rights to MSRs sold to NRZ is subject to negotiations required to be commenced by NRZ no later than six months prior to the servicing fee reset date. The servicing fee reset date is the earlier of April 30, 2020 or eight years after the closing date of the sale of each tranche of Rights to MSRs to NRZ, unless there is an uncured “termination event” with respect to an affected servicing agreement due to a servicer rating downgrade of OLS’ S&amp;P or Moody’s Investors Service, Inc. (Moody’s), residential primary servicer rating for subprime loans to “Below Average” (or lower) or “SQ4” (or lower), respectively, on the sixth anniversary of the closing date of the particular tranche, in which case such six year anniversary shall be the fee reset date. If the parties are not able to agree on servicing fees prior to the fee reset date, NRZ is required to continue paying under the existing fee structure and the agreements between the parties will continue in effect with respect to each underlying servicing agreement unless and until NRZ directs the transfer of servicing under such servicing agreement to a third-party servicer with respect to which all required third-party consents and licenses have been obtained.</w:t>
      </w:r>
    </w:p>
    <w:p>
      <w:pPr>
        <w:spacing w:after="0" w:line="6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Beginning April 7, 2017, we are obligated to transfer legal ownership of the MSRs to NRZ if and when NRZ obtains all required third-party consents and licenses. If and when such transfer of legal ownership occurs, OLS will subservice the loans pursuant to a subservicing agreement, as amended, with NRZ and the subservicing agreement will have a subservicing fee reset date comparable to the servicing fee reset date described above. NRZ has agreed not to direct our replacement as servicer before April 6, 2017 except under certain limited circumstances.</w:t>
      </w:r>
    </w:p>
    <w:p>
      <w:pPr>
        <w:spacing w:after="0" w:line="6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Beginning April 7, 2017, NRZ will have a general right to direct us to transfer servicing of the servicing agreements underlying the Rights to MSRs to a third party that can obtain all required third-party consents provided that the transfer is subject to our continued right to be paid the servicing fees and other amounts payable under our agreements.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92" w:right="259" w:bottom="1440" w:gutter="0" w:footer="0" w:header="0"/>
        </w:sectPr>
      </w:pPr>
    </w:p>
    <w:bookmarkStart w:id="24" w:name="page25"/>
    <w:bookmarkEnd w:id="24"/>
    <w:p>
      <w:pPr>
        <w:ind w:firstLine="324"/>
        <w:spacing w:after="0" w:line="255" w:lineRule="auto"/>
        <w:rPr>
          <w:sz w:val="20"/>
          <w:szCs w:val="20"/>
          <w:color w:val="auto"/>
        </w:rPr>
      </w:pPr>
      <w:r>
        <w:rPr>
          <w:rFonts w:ascii="Arial" w:cs="Arial" w:eastAsia="Arial" w:hAnsi="Arial"/>
          <w:sz w:val="18"/>
          <w:szCs w:val="18"/>
          <w:color w:val="auto"/>
        </w:rPr>
        <w:t>Under our agreements with NRZ, NRZ has the right to direct the transfer of any affected servicing agreement to a successor servicer if certain specified termination events occur. One of those termination events requires us to maintain certain minimum residential primary servicer ratings. Following a “standstill” period that extends through April 6, 2017, if a termination event related to a servicer rating has occurred and exists with respect to any servicing agreement, NRZ will have the right to direct the transfer of servicing with respect to any affected servicing agreement to a replacement servicer that obtains all required third-party consents and licenses. Following any such transfer of an affected servicing agreement, we would no longer be entitled to receive future servicing fee revenue with respect to the transferred servicing agreement.</w:t>
      </w:r>
    </w:p>
    <w:p>
      <w:pPr>
        <w:spacing w:after="0" w:line="8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To the extent servicing agreements underlying Rights to MSRs are terminated as a result of a termination event, NRZ is entitled to payment of an amount equal to an amortized percentage of NRZ’s purchase price for the related Rights to MSRs. We paid NRZ $2.2 million during the nine months ended September 30, 2015 in connection with the termination of four servicing agreements underlying the Rights to MSRs due to servicer rating downgrades.</w:t>
      </w:r>
    </w:p>
    <w:p>
      <w:pPr>
        <w:spacing w:after="0" w:line="3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Under our agreements with NRZ, if S&amp;P downgraded our servicer rating to below “Average” (which it did in 2015), we agreed to compensate NRZ for certain increased costs associated with its servicing advance financing facilities. This compensation requirement continued for a period of 12 months (through June 2016). We incurred $10.5 million in 2016 and $8.5 million during the nine months ended September 30, 2015 in connection with this compensation requirement.</w:t>
      </w:r>
    </w:p>
    <w:p>
      <w:pPr>
        <w:spacing w:after="0" w:line="18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NRZ/HLSS Transactions are accounted for as financings. If and when transfer of legal ownership of the underlying MSRs occurs upon receipt of third-party consents, we would derecognize the related MSRs. Upon derecognition, any resulting gain or loss is deferred and amortized over the expected life of the related subservicing agreement. Until derecognition, we continue to recognize the full amount of servicing revenue and amortization of the MSRs.</w:t>
      </w:r>
    </w:p>
    <w:p>
      <w:pPr>
        <w:spacing w:after="0" w:line="3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sales of advances in connection with MSR sales, including the NRZ/HLSS Transactions, meet the requirements for sale accounting, and the advances are derecognized from our consolidated financial statements at the servicing transfer date, or, in the case of advances sold in connection with the sale of Rights to MSRs, at the time of the sale.</w:t>
      </w:r>
    </w:p>
    <w:p>
      <w:pPr>
        <w:spacing w:after="0" w:line="73"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 2014, Ocwen sold advances related to certain FHA-insured mortgage loans to subsidiaries of NRZ. These advance sales did not qualify for sales treatment and were accounted for as financings (Financing liability - Advances pledged).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Fair Value</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Loans held for sale, at fair value, represent residential mortgage loans originated or purchased and held until sold to secondary market investors, such as the GSEs or other third parties. The following table summarizes the activity in the balance during the nine months ended September 30: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Originations and 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3,141,205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3,119,457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(3,167,640)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(3,306,180)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23,627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37,580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(1)</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(9,556)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302,114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235,909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Other includes the increase (decrease) in fair value of $1.0 million and $(9.9) million for the nine months ended September 30, 2016 and 2015, respectively.</w:t>
      </w:r>
    </w:p>
    <w:p>
      <w:pPr>
        <w:spacing w:after="0" w:line="12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At September 30, 2016, loans held for sale, at fair value with a UPB of $288.4 million were pledged to secure warehouse lines of credit in our Lending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Loans Held for Sale - Lower of Cost or Fair Value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Loans held for sale, at lower of cost or fair value, include residential loans that we do not intend to hold to maturity. The following table summarizes the activity in the net balance during the nine months ended September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104,992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87,492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1,434,059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769,631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(1,295,101)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(577,591)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(199,047)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to real estate owned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(18,479)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18,259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38,327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 valuation allowance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37,998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 xml:space="preserve">Ending balance </w:t>
            </w:r>
            <w:r>
              <w:rPr>
                <w:rFonts w:ascii="Arial" w:cs="Arial" w:eastAsia="Arial" w:hAnsi="Arial"/>
                <w:sz w:val="18"/>
                <w:szCs w:val="18"/>
                <w:color w:val="auto"/>
              </w:rPr>
              <w: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37,651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291,063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0" w:hanging="492"/>
        <w:spacing w:after="0" w:line="261"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September 30, 2016 and September 30, 2015, the balances include $28.1 million and $98.7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the valuation allowance during the nine months ended September 30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49,676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 from liability for indemnification obligations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 of loans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(37,776)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15,378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At September 30, 2016, Loans held for sale, at lower of cost or fair value with a UPB of $14.5 million were pledged to secure a warehouse line of credit in our Servicing segment.</w:t>
      </w:r>
    </w:p>
    <w:p>
      <w:pPr>
        <w:spacing w:after="0" w:line="62"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March 2015, we recognized a gain of $12.9 million on sales of loans with a total UPB of $42.7 million to an unrelated third party. In May 2015, we recognized a gain of $7.2 million on sales of a second group of loans with a total UPB of $33.0 million to an unrelated third party. We had repurchased these loans under the representation and warranty provisions of our contractual obligations to the GSEs as primary servicer of the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Loans Held for Sale,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Gain on loans held for sale, net, during the periods ended September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on sales of loans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40,707</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34,038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77,732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130,425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fair value of IRLCs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3,944</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(8,226)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13,486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(5,893)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on economic hedge instruments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(25,677)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(10,878)</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(664)</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25,645</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27,298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69,074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116,934</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Gains on loans held for sale, net include $9.8 million and $25.3 million for the three and nine months ended September 30, 2016, respectively, representing the value assigned to MSRs retained on transfers of forward loans. For the three and nine months ended September 30, 2015, gains attributable to retained MSRs were $9.5 million and $27.8 million, respectively.</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Also included in Gains on loans held for sale, net are gains of $6.9 million and $19.9 million recorded during the three and nine months ended September 30, 2016, respectively, on sales of repurchased Ginnie Mae loans, which are carried at the lower</w:t>
      </w:r>
    </w:p>
    <w:p>
      <w:pPr>
        <w:sectPr>
          <w:pgSz w:w="11900" w:h="16838" w:orient="portrait"/>
          <w:cols w:equalWidth="0" w:num="1">
            <w:col w:w="11420"/>
          </w:cols>
          <w:pgMar w:left="240" w:top="69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692" w:right="239" w:bottom="1440" w:gutter="0" w:footer="0" w:header="0"/>
          <w:type w:val="continuous"/>
        </w:sectPr>
      </w:pPr>
    </w:p>
    <w:bookmarkStart w:id="26" w:name="page27"/>
    <w:bookmarkEnd w:id="26"/>
    <w:p>
      <w:pPr>
        <w:ind w:right="200"/>
        <w:spacing w:after="0" w:line="277" w:lineRule="auto"/>
        <w:rPr>
          <w:sz w:val="20"/>
          <w:szCs w:val="20"/>
          <w:color w:val="auto"/>
        </w:rPr>
      </w:pPr>
      <w:r>
        <w:rPr>
          <w:rFonts w:ascii="Arial" w:cs="Arial" w:eastAsia="Arial" w:hAnsi="Arial"/>
          <w:sz w:val="18"/>
          <w:szCs w:val="18"/>
          <w:color w:val="auto"/>
        </w:rPr>
        <w:t>of cost or fair value. For the three and nine months ended September 30, 2015, gains on sales of repurchased Ginnie Mae loans were $5.3 million and $18.3 million, respectively.</w:t>
      </w:r>
    </w:p>
    <w:p>
      <w:pPr>
        <w:spacing w:after="0" w:line="62"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Fair value gains recognized in connection with transfers of reverse mortgages into Ginnie Mae guaranteed securitizations are also included in Gains on loans held for sale, net and amounted to $37.8 million and $90.3 million for the three and nine months ended September 30, 2016, respectively. Fair value gains for the three and nine months ended September 30, 2015 were $30.1 million and $91.1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Advances, net, which represent payments made on behalf of borrowers or on foreclosed properties, consisted of the following at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47,624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81,681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170,215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278,487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and other</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118,087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126,031</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335,926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486,199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(46,912)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(41,901)</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289,014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444,298</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Advances at September 30, 2016 include $34.6 million of previously sold advances that did not qualify for sale accounting.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net advances for the nine months ended September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Borders>
              <w:bottom w:val="single" w:sz="8" w:color="EAF9E8"/>
            </w:tcBorders>
          </w:tcPr>
          <w:p>
            <w:pPr>
              <w:spacing w:after="0"/>
              <w:rPr>
                <w:sz w:val="2"/>
                <w:szCs w:val="2"/>
                <w:color w:val="auto"/>
              </w:rPr>
            </w:pPr>
          </w:p>
        </w:tc>
        <w:tc>
          <w:tcPr>
            <w:tcW w:w="34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EAF9E8"/>
            </w:tcBorders>
          </w:tcPr>
          <w:p>
            <w:pPr>
              <w:spacing w:after="0"/>
              <w:rPr>
                <w:sz w:val="2"/>
                <w:szCs w:val="2"/>
                <w:color w:val="auto"/>
              </w:rPr>
            </w:pPr>
          </w:p>
        </w:tc>
        <w:tc>
          <w:tcPr>
            <w:tcW w:w="9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right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444,298</w:t>
            </w: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893,914</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Sales of advances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(224,756)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Collections of advances, charge-offs and other, net</w:t>
            </w:r>
          </w:p>
        </w:tc>
        <w:tc>
          <w:tcPr>
            <w:tcW w:w="34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(125,701)</w:t>
            </w: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(161,378)</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Decrease (increase) in allowance for losses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Borders>
              <w:bottom w:val="single" w:sz="8" w:color="EAF9E8"/>
            </w:tcBorders>
          </w:tcPr>
          <w:p>
            <w:pPr>
              <w:spacing w:after="0"/>
              <w:rPr>
                <w:sz w:val="2"/>
                <w:szCs w:val="2"/>
                <w:color w:val="auto"/>
              </w:rPr>
            </w:pPr>
          </w:p>
        </w:tc>
        <w:tc>
          <w:tcPr>
            <w:tcW w:w="34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EAF9E8"/>
            </w:tcBorders>
          </w:tcPr>
          <w:p>
            <w:pPr>
              <w:spacing w:after="0"/>
              <w:rPr>
                <w:sz w:val="2"/>
                <w:szCs w:val="2"/>
                <w:color w:val="auto"/>
              </w:rPr>
            </w:pPr>
          </w:p>
        </w:tc>
        <w:tc>
          <w:tcPr>
            <w:tcW w:w="9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right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289,014</w:t>
            </w:r>
          </w:p>
        </w:tc>
        <w:tc>
          <w:tcPr>
            <w:tcW w:w="10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517,378</w:t>
            </w:r>
          </w:p>
        </w:tc>
        <w:tc>
          <w:tcPr>
            <w:tcW w:w="20" w:type="dxa"/>
            <w:vAlign w:val="bottom"/>
            <w:tcBorders>
              <w:bottom w:val="single" w:sz="8" w:color="auto"/>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4"/>
            <w:vMerge w:val="restart"/>
          </w:tcPr>
          <w:p>
            <w:pPr>
              <w:ind w:left="320"/>
              <w:spacing w:after="0"/>
              <w:rPr>
                <w:sz w:val="20"/>
                <w:szCs w:val="20"/>
                <w:color w:val="auto"/>
              </w:rPr>
            </w:pPr>
            <w:r>
              <w:rPr>
                <w:rFonts w:ascii="Arial" w:cs="Arial" w:eastAsia="Arial" w:hAnsi="Arial"/>
                <w:sz w:val="18"/>
                <w:szCs w:val="18"/>
                <w:color w:val="auto"/>
                <w:w w:val="90"/>
              </w:rPr>
              <w:t>The change in the allowance for losses for the periods ended September 30 is as follows:</w:t>
            </w: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6760" w:type="dxa"/>
            <w:vAlign w:val="bottom"/>
            <w:gridSpan w:val="4"/>
            <w:vMerge w:val="continue"/>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Borders>
              <w:right w:val="single" w:sz="8" w:color="EAF9E8"/>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shd w:val="clear" w:color="auto" w:fill="EAF9E8"/>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EAF9E8"/>
            </w:tcBorders>
          </w:tcPr>
          <w:p>
            <w:pPr>
              <w:spacing w:after="0"/>
              <w:rPr>
                <w:sz w:val="2"/>
                <w:szCs w:val="2"/>
                <w:color w:val="auto"/>
              </w:rPr>
            </w:pPr>
          </w:p>
        </w:tc>
        <w:tc>
          <w:tcPr>
            <w:tcW w:w="5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EAF9E8"/>
            </w:tcBorders>
          </w:tcPr>
          <w:p>
            <w:pPr>
              <w:spacing w:after="0"/>
              <w:rPr>
                <w:sz w:val="2"/>
                <w:szCs w:val="2"/>
                <w:color w:val="auto"/>
              </w:rPr>
            </w:pPr>
          </w:p>
        </w:tc>
        <w:tc>
          <w:tcPr>
            <w:tcW w:w="100" w:type="dxa"/>
            <w:vAlign w:val="bottom"/>
            <w:tcBorders>
              <w:bottom w:val="single" w:sz="8" w:color="EAF9E8"/>
            </w:tcBorders>
            <w:shd w:val="clear" w:color="auto" w:fill="EAF9E8"/>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39,441</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59,545</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right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41,901</w:t>
            </w: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70,034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(6,865)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21,856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42,358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EAF9E8"/>
            </w:tcBorders>
            <w:shd w:val="clear" w:color="auto" w:fill="EAF9E8"/>
          </w:tcPr>
          <w:p>
            <w:pPr>
              <w:spacing w:after="0"/>
              <w:rPr>
                <w:sz w:val="23"/>
                <w:szCs w:val="23"/>
                <w:color w:val="auto"/>
              </w:rPr>
            </w:pPr>
          </w:p>
        </w:tc>
        <w:tc>
          <w:tcPr>
            <w:tcW w:w="51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Recoveries (charge-offs), net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14,336</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(20,965)</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right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(51,956)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46,912</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60,436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46,912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60,436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Match Funded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advances on residential loans we service for others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500" w:type="dxa"/>
            <w:vAlign w:val="bottom"/>
            <w:tcBorders>
              <w:bottom w:val="single" w:sz="8" w:color="EAF9E8"/>
            </w:tcBorders>
          </w:tcPr>
          <w:p>
            <w:pPr>
              <w:spacing w:after="0"/>
              <w:rPr>
                <w:sz w:val="2"/>
                <w:szCs w:val="2"/>
                <w:color w:val="auto"/>
              </w:rPr>
            </w:pPr>
          </w:p>
        </w:tc>
        <w:tc>
          <w:tcPr>
            <w:tcW w:w="38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40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783,797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948,376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3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540,277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608,404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real estate and other</w:t>
            </w:r>
          </w:p>
        </w:tc>
        <w:tc>
          <w:tcPr>
            <w:tcW w:w="384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210,248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149,988</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1,534,322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1,706,768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840" w:type="dxa"/>
            <w:vAlign w:val="bottom"/>
            <w:vMerge w:val="restart"/>
          </w:tcPr>
          <w:p>
            <w:pPr>
              <w:jc w:val="right"/>
              <w:ind w:right="2450"/>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8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color w:val="auto"/>
        </w:rPr>
        <w:t>The following table summarizes the activity in match funded advances for the nine months ended September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1,706,768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2,409,442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 of advances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(96,408)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pledged advances, net</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(164,689)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(357,416)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1,534,322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1,955,618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Mortgage Servicing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summarizes changes in the net carrying value of servicing assets that we account for using the amortization method for the nine months ended September 30:</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2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377,379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1,820,091</w:t>
            </w: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Fair value election - transfer of MSRs carried at fair value (1)</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(787,142)</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Additions recognized in connection with asset acquisitions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15,968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10,055</w:t>
            </w: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Additions recognized on the sale of mortgage loans</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26,494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27,791</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Sales</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(23,521)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(591,605)</w:t>
            </w:r>
          </w:p>
        </w:tc>
      </w:tr>
      <w:tr>
        <w:trPr>
          <w:trHeight w:val="237"/>
        </w:trPr>
        <w:tc>
          <w:tcPr>
            <w:tcW w:w="82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396,320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479,190</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Amortization (2)</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(18,595)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(88,188)</w:t>
            </w: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Increase in impairment valuation allowance (3)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(25,051)</w:t>
            </w:r>
          </w:p>
        </w:tc>
      </w:tr>
      <w:tr>
        <w:trPr>
          <w:trHeight w:val="27"/>
        </w:trPr>
        <w:tc>
          <w:tcPr>
            <w:tcW w:w="82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340,561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365,951</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8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Estimated fair value at end of period</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357,817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404,533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line="249"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Effective January 1, 2015, we elected fair value accounting for a newly-created class of non-Agency MSRs, which were previously accounted for using the amortization method, based on a different strategy for managing the risks of the underlying portfolio compared to our other MSR classes. This irrevocable election applies to all subsequently acquired or originated servicing assets and liabilities that have characteristics consistent with this class. We recorded a cumulative-effect adjustment of $52.0 million (before deferred income taxes of $9.2 million) to retained earnings as of January 1, 2015 to reflect the excess of the fair value of these MSRs over their carrying amount. At December 31, 2014, the UPB of the loans related to the non-Agency MSRs for which the fair value election was made was $195.3 billion.</w:t>
      </w:r>
    </w:p>
    <w:p>
      <w:pPr>
        <w:spacing w:after="0" w:line="3" w:lineRule="exact"/>
        <w:rPr>
          <w:rFonts w:ascii="Arial" w:cs="Arial" w:eastAsia="Arial" w:hAnsi="Arial"/>
          <w:sz w:val="16"/>
          <w:szCs w:val="16"/>
          <w:color w:val="auto"/>
        </w:rPr>
      </w:pPr>
    </w:p>
    <w:p>
      <w:pPr>
        <w:ind w:left="500" w:hanging="492"/>
        <w:spacing w:after="0" w:line="24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003300"/>
        </w:rPr>
        <w:t xml:space="preserve">During 2016, principally in the third quarter, we participated in HUD’s Aged Delinquent Portfolio Loan Sale (ADPLS) program, which accelerates FHA insurance claims for a population of significantly delinquent FHA loans. The expedited claim filing process allows a servicer to reduce significantly its standard claim losses on accepted loans by shortening the servicing timeline and related expenses, some of which are not reimbursed by FHA insurance. Our participation required that we recognize $23.1 million of life-to-date losses on the claims filed in the third quarter. This loss is reported in Servicing and origination expense </w:t>
      </w:r>
      <w:r>
        <w:rPr>
          <w:rFonts w:ascii="Arial" w:cs="Arial" w:eastAsia="Arial" w:hAnsi="Arial"/>
          <w:sz w:val="16"/>
          <w:szCs w:val="16"/>
          <w:color w:val="000000"/>
        </w:rPr>
        <w:t>in the Unaudited</w:t>
      </w:r>
      <w:r>
        <w:rPr>
          <w:rFonts w:ascii="Arial" w:cs="Arial" w:eastAsia="Arial" w:hAnsi="Arial"/>
          <w:sz w:val="16"/>
          <w:szCs w:val="16"/>
          <w:color w:val="003300"/>
        </w:rPr>
        <w:t xml:space="preserve"> </w:t>
      </w:r>
      <w:r>
        <w:rPr>
          <w:rFonts w:ascii="Arial" w:cs="Arial" w:eastAsia="Arial" w:hAnsi="Arial"/>
          <w:sz w:val="16"/>
          <w:szCs w:val="16"/>
          <w:color w:val="000000"/>
        </w:rPr>
        <w:t>Consolidated Statements of Operations</w:t>
      </w:r>
      <w:r>
        <w:rPr>
          <w:rFonts w:ascii="Arial" w:cs="Arial" w:eastAsia="Arial" w:hAnsi="Arial"/>
          <w:sz w:val="16"/>
          <w:szCs w:val="16"/>
          <w:color w:val="003300"/>
        </w:rPr>
        <w:t>. Because the MSRs related to the loans that were assigned to HUD had negative carrying values, our recognition of the losses on</w:t>
      </w:r>
      <w:r>
        <w:rPr>
          <w:rFonts w:ascii="Arial" w:cs="Arial" w:eastAsia="Arial" w:hAnsi="Arial"/>
          <w:sz w:val="16"/>
          <w:szCs w:val="16"/>
          <w:color w:val="000000"/>
        </w:rPr>
        <w:t xml:space="preserve"> </w:t>
      </w:r>
      <w:r>
        <w:rPr>
          <w:rFonts w:ascii="Arial" w:cs="Arial" w:eastAsia="Arial" w:hAnsi="Arial"/>
          <w:sz w:val="16"/>
          <w:szCs w:val="16"/>
          <w:color w:val="003300"/>
        </w:rPr>
        <w:t>the loans reduced the negative carrying value of the MSRs thereby generating negative amortization expense for this population of MSRs. In the third quarter, this ADPLS-related negative amortization expense of $18.1 million exceeded the positive amortization expense on the remaining MSRs, generating net negative amortization for the quarter.</w:t>
      </w:r>
    </w:p>
    <w:p>
      <w:pPr>
        <w:spacing w:after="0" w:line="3" w:lineRule="exact"/>
        <w:rPr>
          <w:rFonts w:ascii="Arial" w:cs="Arial" w:eastAsia="Arial" w:hAnsi="Arial"/>
          <w:sz w:val="16"/>
          <w:szCs w:val="16"/>
          <w:color w:val="auto"/>
        </w:rPr>
      </w:pPr>
    </w:p>
    <w:p>
      <w:pPr>
        <w:ind w:left="500" w:right="280" w:hanging="492"/>
        <w:spacing w:after="0" w:line="257"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Impairment of MSRs is recognized in Servicing and origination expense. See Note 3 – Fair Value for additional information regarding impairment and the valuation allowance.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Mortgage Servicing Rights – Fair Value Measurement Method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changes in the fair value of servicing assets that we account for at fair value on a recurring basis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Non-Agency</w:t>
            </w:r>
          </w:p>
        </w:tc>
        <w:tc>
          <w:tcPr>
            <w:tcW w:w="30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Non-Agency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6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15,071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746,119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761,190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93,901</w:t>
            </w: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Fair value election - transfer of</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640" w:type="dxa"/>
            <w:vAlign w:val="bottom"/>
          </w:tcPr>
          <w:p>
            <w:pPr>
              <w:ind w:left="340"/>
              <w:spacing w:after="0"/>
              <w:rPr>
                <w:sz w:val="20"/>
                <w:szCs w:val="20"/>
                <w:color w:val="auto"/>
              </w:rPr>
            </w:pPr>
            <w:r>
              <w:rPr>
                <w:rFonts w:ascii="Arial" w:cs="Arial" w:eastAsia="Arial" w:hAnsi="Arial"/>
                <w:sz w:val="18"/>
                <w:szCs w:val="18"/>
                <w:color w:val="auto"/>
                <w:w w:val="90"/>
              </w:rPr>
              <w:t>MSRs carried at amortized cost</w:t>
            </w:r>
          </w:p>
        </w:tc>
        <w:tc>
          <w:tcPr>
            <w:tcW w:w="2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787,142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787,142</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6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Cumulative effect of fair value</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26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election</w:t>
            </w:r>
          </w:p>
        </w:tc>
        <w:tc>
          <w:tcPr>
            <w:tcW w:w="2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52,015</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52,015</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(71,318)</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6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Servicing transfers and</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26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adjustments</w:t>
            </w:r>
          </w:p>
        </w:tc>
        <w:tc>
          <w:tcPr>
            <w:tcW w:w="2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(1,139)</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Changes in fair value (1):</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64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6"/>
              </w:rPr>
              <w:t>Changes in valuation inputs or</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264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other assumptions</w:t>
            </w:r>
          </w:p>
        </w:tc>
        <w:tc>
          <w:tcPr>
            <w:tcW w:w="26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(4,654)</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(4,654)</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12,031</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9,439</w:t>
            </w:r>
          </w:p>
        </w:tc>
      </w:tr>
      <w:tr>
        <w:trPr>
          <w:trHeight w:val="229"/>
        </w:trPr>
        <w:tc>
          <w:tcPr>
            <w:tcW w:w="2640" w:type="dxa"/>
            <w:vAlign w:val="bottom"/>
          </w:tcPr>
          <w:p>
            <w:pPr>
              <w:ind w:left="280"/>
              <w:spacing w:after="0"/>
              <w:rPr>
                <w:sz w:val="20"/>
                <w:szCs w:val="20"/>
                <w:color w:val="auto"/>
              </w:rPr>
            </w:pPr>
            <w:r>
              <w:rPr>
                <w:rFonts w:ascii="Arial" w:cs="Arial" w:eastAsia="Arial" w:hAnsi="Arial"/>
                <w:sz w:val="18"/>
                <w:szCs w:val="18"/>
                <w:color w:val="auto"/>
                <w:w w:val="98"/>
              </w:rPr>
              <w:t>Realization of expected future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640" w:type="dxa"/>
            <w:vAlign w:val="bottom"/>
          </w:tcPr>
          <w:p>
            <w:pPr>
              <w:ind w:left="440"/>
              <w:spacing w:after="0"/>
              <w:rPr>
                <w:sz w:val="20"/>
                <w:szCs w:val="20"/>
                <w:color w:val="auto"/>
              </w:rPr>
            </w:pPr>
            <w:r>
              <w:rPr>
                <w:rFonts w:ascii="Arial" w:cs="Arial" w:eastAsia="Arial" w:hAnsi="Arial"/>
                <w:sz w:val="18"/>
                <w:szCs w:val="18"/>
                <w:color w:val="auto"/>
                <w:w w:val="91"/>
              </w:rPr>
              <w:t>cash flows and other changes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(57,555)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(58,954)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(82,696)</w:t>
            </w:r>
          </w:p>
        </w:tc>
      </w:tr>
      <w:tr>
        <w:trPr>
          <w:trHeight w:val="27"/>
        </w:trPr>
        <w:tc>
          <w:tcPr>
            <w:tcW w:w="26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9,015</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687,093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696,108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14,417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772,927</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787,344</w:t>
            </w: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fair value are recognized in Servicing and origination expense in the Unaudited Consolidated Statements of Operations.</w:t>
      </w:r>
    </w:p>
    <w:p>
      <w:pPr>
        <w:spacing w:after="0" w:line="10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that we carry at fair value as of September 30, 2016 given hypothetical shifts in lifetime prepayments and yield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Adverse change in fair value</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(66,764)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(135,780)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(18,758)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(34,142)</w:t>
            </w:r>
          </w:p>
        </w:tc>
      </w:tr>
    </w:tbl>
    <w:p>
      <w:pPr>
        <w:spacing w:after="0" w:line="33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September 30, 2016 are increased prepayment speeds and a decrease in the yield assumption.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servicing rights while subservicing represents all other loans. The UPB of assets serviced for others are not included on our Unaudited 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September 30, 2016</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206,615,310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206,615,310</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10,276,692</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151,432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10,428,124</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216,892,002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151,432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217,043,434</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2015</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230,132,729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230,132,729</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20,833,383</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105,268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20,938,651</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250,966,112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105,268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251,071,380</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September 30, 2015</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238,108,447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238,108,447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49,960,702</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180,877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50,141,579</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288,069,149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180,877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288,250,026</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right="880" w:firstLine="324"/>
        <w:spacing w:after="0" w:line="277" w:lineRule="auto"/>
        <w:rPr>
          <w:sz w:val="20"/>
          <w:szCs w:val="20"/>
          <w:color w:val="auto"/>
        </w:rPr>
      </w:pPr>
      <w:r>
        <w:rPr>
          <w:rFonts w:ascii="Arial" w:cs="Arial" w:eastAsia="Arial" w:hAnsi="Arial"/>
          <w:sz w:val="18"/>
          <w:szCs w:val="18"/>
          <w:color w:val="auto"/>
        </w:rPr>
        <w:t>UPB serviced at September 30, 2016, December 31, 2015 and September 30, 2015 includes $123.2 billion, $137.1 billion and $146.0 billion, respectively, for which the Rights to MSRs have been sold to NRZ.</w:t>
      </w:r>
    </w:p>
    <w:p>
      <w:pPr>
        <w:spacing w:after="0" w:line="6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Residential assets serviced includes foreclosed real estate. Residential assets serviced also includes small-balance commercial assets with a UPB of $1.5 billion, $1.8 billion and $1.9 billion at September 30, 2016, December 31, 2015 and September 30, 2015, respectively. Commercial assets consist of large-balance foreclosed real estate.</w:t>
      </w:r>
    </w:p>
    <w:p>
      <w:pPr>
        <w:spacing w:after="0" w:line="73"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As a result of the economic downturn beginning in 2007-2008, the portfolio delinquency and/or cumulative loss threshold provisions have been breached by many private-label securitizations in our non-Agency servicing portfolio. To date, terminations as servicer as a result of a breach of any of these provisions have been minimal.</w:t>
      </w:r>
    </w:p>
    <w:p>
      <w:pPr>
        <w:spacing w:after="0" w:line="4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Certain of our servicing agreements require that we maintain specified servicer ratings from rating agencies such as Moody’s and S&amp;P. Out of 3,840 non-Agency servicing agreements, 729 with approximately $35.8 billion of UPB as of September 30, 2016 have minimum servicer ratings criteria. As a result of our current servicer ratings, termination rights have been triggered in 180 of these non-Agency servicing agreements. This represents approximately $11.5 billion in UPB as of September 30, 2016, or approximately 6.9% of our total non-Agency servicing portfolio.</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early 2015, we received notices terminating us as the servicer under four of our non-Agency servicing agreements due to rating downgrades. Pursuant to our servicing agreements, generally we are entitled to payment of accrued and unpaid servicing fees through termination as well as all advances and certain other previously unreimbursed amounts, although we lose the future servicing fee revenue. While the financial impact of the termination of servicing under these four servicing agreements was immaterial to our overall financial condition, as it represented only 0.17% of our overall servicing portfolio as of the time of transfer of servicing, we could be subject to further terminations either as a result of servicer ratings downgrades or future adverse actions by ratings agencies, which could have an adverse effect on our business, financing activities, financial condition and results of operations.</w:t>
      </w:r>
    </w:p>
    <w:p>
      <w:pPr>
        <w:spacing w:after="0" w:line="16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Downgrades in servicer ratings could adversely affect our ability to finance servicing advances and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2"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Servicing Revenue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8820" w:type="dxa"/>
            <w:vAlign w:val="bottom"/>
            <w:gridSpan w:val="8"/>
          </w:tcPr>
          <w:p>
            <w:pPr>
              <w:ind w:left="340"/>
              <w:spacing w:after="0"/>
              <w:rPr>
                <w:sz w:val="20"/>
                <w:szCs w:val="20"/>
                <w:color w:val="auto"/>
              </w:rPr>
            </w:pPr>
            <w:r>
              <w:rPr>
                <w:rFonts w:ascii="Arial" w:cs="Arial" w:eastAsia="Arial" w:hAnsi="Arial"/>
                <w:sz w:val="18"/>
                <w:szCs w:val="18"/>
                <w:color w:val="auto"/>
                <w:w w:val="90"/>
              </w:rPr>
              <w:t>The following table presents the components of servicing and subservicing fees for the periods ended September 30: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servicing and subservicing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232,013</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274,089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706,194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904,062</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14,354</w:t>
            </w:r>
          </w:p>
        </w:tc>
        <w:tc>
          <w:tcPr>
            <w:tcW w:w="100" w:type="dxa"/>
            <w:vAlign w:val="bottom"/>
            <w:tcBorders>
              <w:bottom w:val="single" w:sz="8" w:color="EAF9E8"/>
            </w:tcBorders>
            <w:shd w:val="clear" w:color="auto" w:fill="EAF9E8"/>
          </w:tcPr>
          <w:p>
            <w:pPr>
              <w:spacing w:after="0"/>
              <w:rPr>
                <w:sz w:val="23"/>
                <w:szCs w:val="23"/>
                <w:color w:val="auto"/>
              </w:rPr>
            </w:pPr>
          </w:p>
        </w:tc>
        <w:tc>
          <w:tcPr>
            <w:tcW w:w="4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17,494</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48,004</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237,013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288,443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723,688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952,066</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32,029</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32,318</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88,141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108,698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15,225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19,162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51,301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63,557</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collection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6,746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6,682</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20,860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25,176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11,222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23,003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54,044</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302,235</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360,017</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906,993</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1,203,541</w:t>
            </w:r>
          </w:p>
        </w:tc>
      </w:tr>
      <w:tr>
        <w:trPr>
          <w:trHeight w:val="20"/>
        </w:trPr>
        <w:tc>
          <w:tcPr>
            <w:tcW w:w="516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an unaffiliated bank and are excluded from our Unaudited Consolidated Balance Sheets. Float balances amounted to $2.6 billion and $3.1 billion at September 30, 2016 and September 30, 2015, respectively.</w:t>
      </w:r>
    </w:p>
    <w:p>
      <w:pPr>
        <w:spacing w:after="0" w:line="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to mortgage servicing and subservicing fees, in the third quarter of 2016, we executed clean-up calls on four, small-balance commercial mortgage securitization trusts, which resulted in our recognizing income of $12.8 million related to the value of the underlying collateral held by the trusts, including amounts on deposit in spread accounts (a form of cash collateral account). We reported this income in Other, net, (a component of Other income (expense)) in the Unaudited Consolidated Statements of Operations. Simultaneously with the execution of the clean-up call, we entered into a mortgage loan purchase agreement to sell the acquired commercial loans and foreclosed properties to a third party. The proceeds from the sale were used to fund the required payments to the holders of the debt securities issued by the trusts. The sales price of the loans represented a discount to the repurchase price of $2.5 million, which we reported in Gain on loans held for sale,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Receivables, net consisted of the following at the dates indicated: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Government-insured loan claims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110,487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71,405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Reimbursable expenses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38,027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29,856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Due from custodial accounts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13,800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Amount due on sales of mortgage servicing rights and advances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31,569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94,629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servicing receivables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46,612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32,879</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259,127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242,569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59,440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53,519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receivables</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24,544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29,818</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343,111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325,906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 (1)</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(63,228)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(38,925)</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279,883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286,981</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480" w:hanging="492"/>
        <w:spacing w:after="0" w:line="261"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September 30, 2016 and December 31, 2015, the allowance for losses related entirely to receivables of our Servicing business. Allowance for losses related to defaulted FHA or VA insured loans repurchased from Ginnie Mae guaranteed securitizations (government-insured loan claims) at September 30, 2016 and December 31, 2015 were $46.4 million and $20.6 million,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72"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10 – Other Assets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the dates indicated: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asset (1)</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261,589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346,984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(2)</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69,805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Debt service accounts (3)</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40,020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87,328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Automotive dealer financing notes, net (4)</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24,965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Derivatives,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11,620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11,749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 backed securities,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9,040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lender fees and debt issuance costs,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19,496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4,388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13,754</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439,921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586,495</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60" w:hanging="492"/>
        <w:spacing w:after="0" w:line="249"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connection with the Ginnie Mae early buy-out (EBO) program,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loans on our consolidated balance sheets and establish a corresponding repurchase liability. With respect to those loans that we have the right, but not the obligation, to repurchase under the applicable agreement, this requirement applies regardless of whether we have any intention to repurchase the loan. We re-recognize the loans in Other assets and a corresponding liability in Other liabilities.</w:t>
      </w:r>
    </w:p>
    <w:p>
      <w:pPr>
        <w:spacing w:after="0" w:line="1" w:lineRule="exact"/>
        <w:rPr>
          <w:rFonts w:ascii="Arial" w:cs="Arial" w:eastAsia="Arial" w:hAnsi="Arial"/>
          <w:sz w:val="16"/>
          <w:szCs w:val="16"/>
          <w:color w:val="auto"/>
        </w:rPr>
      </w:pPr>
    </w:p>
    <w:p>
      <w:pPr>
        <w:jc w:val="both"/>
        <w:ind w:left="500" w:right="460" w:hanging="492"/>
        <w:spacing w:after="0" w:line="246"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connection with the sale of Agency MSRs in 2015, we placed $52.9 million in escrow for the payment of representation, warranty and indemnification claims associated with the underlying loans. Prepaid expenses at September 30, 2016 and December 31, 2015 includes the remaining balance of $35.9 million and $41.3 million, respectively.</w:t>
      </w:r>
    </w:p>
    <w:p>
      <w:pPr>
        <w:spacing w:after="0" w:line="1" w:lineRule="exact"/>
        <w:rPr>
          <w:rFonts w:ascii="Arial" w:cs="Arial" w:eastAsia="Arial" w:hAnsi="Arial"/>
          <w:sz w:val="16"/>
          <w:szCs w:val="16"/>
          <w:color w:val="auto"/>
        </w:rPr>
      </w:pPr>
    </w:p>
    <w:p>
      <w:pPr>
        <w:ind w:left="500" w:right="120" w:hanging="492"/>
        <w:spacing w:after="0" w:line="263" w:lineRule="auto"/>
        <w:tabs>
          <w:tab w:leader="none" w:pos="5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Under our advance funding financing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facilities are held in the name of the SPE created in connection with the facility.</w:t>
      </w:r>
    </w:p>
    <w:p>
      <w:pPr>
        <w:ind w:left="500" w:right="160" w:hanging="492"/>
        <w:spacing w:after="0" w:line="257"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Automotive dealer financing notes are net of an allowance of $0.3 million at September 30, 2016. These notes represent short-term inventory-secured floor plan loans provided to independent used car dealerships through our ACS venture.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Available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2760" w:type="dxa"/>
            <w:vAlign w:val="bottom"/>
            <w:gridSpan w:val="2"/>
          </w:tcPr>
          <w:p>
            <w:pPr>
              <w:ind w:left="70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Date (1)</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Capacity (2)</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2014-VF3,</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4"/>
              </w:rPr>
              <w:t>1ML (3) + 185</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bps</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2047</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35,768</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77,411</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132,651</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2014-VF3,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B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+ 250 bps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2047</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 2017</w:t>
            </w: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2014-VF3,</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+ 380 bps</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2047</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4,097</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2014-VF3,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D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+ 545 bps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2047</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 2017</w:t>
            </w: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18,427</w:t>
            </w: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796"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Amortization</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Borrowing</w:t>
            </w: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760" w:type="dxa"/>
            <w:vAlign w:val="bottom"/>
            <w:gridSpan w:val="2"/>
          </w:tcPr>
          <w:p>
            <w:pPr>
              <w:ind w:left="70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Date (1)</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Capacity (2)</w:t>
            </w: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2014-VF4,</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+ 185 bps</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2047</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2017</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35,768</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77,411</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132,651</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2014-VF4,</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B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+ 250 bps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2047</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3,703</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2014-VF4,</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+ 380 bps</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2047</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2017</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1,808</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4,097</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2014-VF4,</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D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+ 545 bps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2047</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4,733</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10,846</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18,427</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2015-VF5,</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+ 185 bps</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2047</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2017</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35,768</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77,411</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132,652</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2015-VF5,</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B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+ 250 bps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2047</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3,703</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2015-VF5,</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+ 380 bps</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2047</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2017</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1,808</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4,097</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2015-VF5,</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D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+ 545 bps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2047</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4,733</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10,846</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18,427</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2015-T1,</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2.5365%</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244,809</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2015-T1,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3.0307%</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10,930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2015-T1,</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3.5240%</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2016</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12,011</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2015-T1,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4.1000%</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32,250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2015-T2,</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2.5320%</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2046</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2016</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161,973</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2015-T2,</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3.3720%</w:t>
            </w: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2046</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7,098</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2015-T2,</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3.7660%</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2046</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2016</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8,113</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2015-T2,</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4.2580%</w:t>
            </w: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2046</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22,816</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2015-T3,</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3.2110%</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2047</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2017</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310,195</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310,195</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2015-T3,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3.7040%</w:t>
            </w: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2047</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2017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17,695</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17,695</w:t>
            </w:r>
          </w:p>
        </w:tc>
      </w:tr>
      <w:tr>
        <w:trPr>
          <w:trHeight w:val="486"/>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10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Amortization</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Borrowing</w:t>
            </w: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760" w:type="dxa"/>
            <w:vAlign w:val="bottom"/>
            <w:gridSpan w:val="2"/>
          </w:tcPr>
          <w:p>
            <w:pPr>
              <w:ind w:left="70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Date (1)</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Capacity (2)</w:t>
            </w: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2015-T3,</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4.1960%</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2047</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Nov. 2017</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19,262</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19,262</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2015-T3,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4.6870%</w:t>
            </w: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2047</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Nov. 2017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52,848</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52,848</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2016-T1,</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2.5207%</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2048</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2018</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216,700</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2016-T1,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3.0643%</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2048</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2016-T1,</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3.6067%</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2048</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2018</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2016-T1,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4.2462%</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2048</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28,500</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2016-T2,</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2.7215%</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2049</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2019</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188,300</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2016-T2,</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3.2647%</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2049</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 Series 2016-T2,</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3.8066%</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2049</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2019</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10,300</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 Series 2016-T2,</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4.4456%</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2049</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27,900</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5"/>
        </w:trPr>
        <w:tc>
          <w:tcPr>
            <w:tcW w:w="2760" w:type="dxa"/>
            <w:vAlign w:val="bottom"/>
            <w:gridSpan w:val="2"/>
            <w:shd w:val="clear" w:color="auto" w:fill="EAF9E8"/>
          </w:tcPr>
          <w:p>
            <w:pPr>
              <w:ind w:left="180"/>
              <w:spacing w:after="0" w:line="205" w:lineRule="exact"/>
              <w:rPr>
                <w:sz w:val="20"/>
                <w:szCs w:val="20"/>
                <w:color w:val="auto"/>
              </w:rPr>
            </w:pPr>
            <w:r>
              <w:rPr>
                <w:rFonts w:ascii="Arial" w:cs="Arial" w:eastAsia="Arial" w:hAnsi="Arial"/>
                <w:sz w:val="18"/>
                <w:szCs w:val="18"/>
                <w:b w:val="1"/>
                <w:bCs w:val="1"/>
                <w:color w:val="auto"/>
              </w:rPr>
              <w:t>Total Ocwen Master Advance</w:t>
            </w:r>
          </w:p>
        </w:tc>
        <w:tc>
          <w:tcPr>
            <w:tcW w:w="1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4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60" w:type="dxa"/>
            <w:vAlign w:val="bottom"/>
            <w:shd w:val="clear" w:color="auto" w:fill="EAF9E8"/>
          </w:tcPr>
          <w:p>
            <w:pPr>
              <w:spacing w:after="0"/>
              <w:rPr>
                <w:sz w:val="17"/>
                <w:szCs w:val="17"/>
                <w:color w:val="auto"/>
              </w:rPr>
            </w:pPr>
          </w:p>
        </w:tc>
      </w:tr>
      <w:tr>
        <w:trPr>
          <w:trHeight w:val="261"/>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b w:val="1"/>
                <w:bCs w:val="1"/>
                <w:color w:val="auto"/>
              </w:rPr>
              <w:t>Receivables Trust (OMART)</w:t>
            </w:r>
          </w:p>
        </w:tc>
        <w:tc>
          <w:tcPr>
            <w:tcW w:w="12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131,829</w:t>
            </w: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1,188,171</w:t>
            </w: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1,393,156</w:t>
            </w:r>
          </w:p>
        </w:tc>
      </w:tr>
      <w:tr>
        <w:trPr>
          <w:trHeight w:val="20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Series 2014-VF1,</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Cost of Funds +</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A</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270 bps</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Dec. 2046</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Dec.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11,069</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46,207</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31,343</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Series 2014-VF1,</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Cost of Funds +</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B</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425 bps</w:t>
            </w: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Dec. 2046</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Dec.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4,638</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4,157</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Series 2014-VF1,</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Cost of Funds +</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C</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470 bps</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Dec. 2046</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Dec.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4,564</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Series 2014-VF1,</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Cost of Funds +</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5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D</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520 bps</w:t>
            </w: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Dec. 2046</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Dec.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4,245</w:t>
            </w: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15,091</w:t>
            </w: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11,351</w:t>
            </w:r>
          </w:p>
        </w:tc>
      </w:tr>
      <w:tr>
        <w:trPr>
          <w:trHeight w:val="205"/>
        </w:trPr>
        <w:tc>
          <w:tcPr>
            <w:tcW w:w="2760" w:type="dxa"/>
            <w:vAlign w:val="bottom"/>
            <w:gridSpan w:val="2"/>
          </w:tcPr>
          <w:p>
            <w:pPr>
              <w:ind w:left="180"/>
              <w:spacing w:after="0" w:line="205" w:lineRule="exact"/>
              <w:rPr>
                <w:sz w:val="20"/>
                <w:szCs w:val="20"/>
                <w:color w:val="auto"/>
              </w:rPr>
            </w:pPr>
            <w:r>
              <w:rPr>
                <w:rFonts w:ascii="Arial" w:cs="Arial" w:eastAsia="Arial" w:hAnsi="Arial"/>
                <w:sz w:val="18"/>
                <w:szCs w:val="18"/>
                <w:b w:val="1"/>
                <w:bCs w:val="1"/>
                <w:color w:val="auto"/>
                <w:w w:val="97"/>
              </w:rPr>
              <w:t>Total Ocwen Servicer Advance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16"/>
        </w:trPr>
        <w:tc>
          <w:tcPr>
            <w:tcW w:w="2760" w:type="dxa"/>
            <w:vAlign w:val="bottom"/>
            <w:gridSpan w:val="2"/>
          </w:tcPr>
          <w:p>
            <w:pPr>
              <w:ind w:left="340"/>
              <w:spacing w:after="0"/>
              <w:rPr>
                <w:sz w:val="20"/>
                <w:szCs w:val="20"/>
                <w:color w:val="auto"/>
              </w:rPr>
            </w:pPr>
            <w:r>
              <w:rPr>
                <w:rFonts w:ascii="Arial" w:cs="Arial" w:eastAsia="Arial" w:hAnsi="Arial"/>
                <w:sz w:val="18"/>
                <w:szCs w:val="18"/>
                <w:b w:val="1"/>
                <w:bCs w:val="1"/>
                <w:color w:val="auto"/>
              </w:rPr>
              <w:t>Receivables Trust III</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2760" w:type="dxa"/>
            <w:vAlign w:val="bottom"/>
            <w:gridSpan w:val="2"/>
          </w:tcPr>
          <w:p>
            <w:pPr>
              <w:ind w:left="340"/>
              <w:spacing w:after="0"/>
              <w:rPr>
                <w:sz w:val="20"/>
                <w:szCs w:val="20"/>
                <w:color w:val="auto"/>
              </w:rPr>
            </w:pPr>
            <w:r>
              <w:rPr>
                <w:rFonts w:ascii="Arial" w:cs="Arial" w:eastAsia="Arial" w:hAnsi="Arial"/>
                <w:sz w:val="18"/>
                <w:szCs w:val="18"/>
                <w:b w:val="1"/>
                <w:bCs w:val="1"/>
                <w:color w:val="auto"/>
              </w:rPr>
              <w:t>(OSART III) (6)</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18,809</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71,191</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51,415</w:t>
            </w:r>
          </w:p>
        </w:tc>
      </w:tr>
      <w:tr>
        <w:trPr>
          <w:trHeight w:val="27"/>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Series 2015-VF1,</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+ 240 bps</w:t>
            </w: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88"/>
              </w:rPr>
              <w:t>Jun. 2047</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88"/>
              </w:rPr>
              <w:t>Jun. 2017</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32,720</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86,280</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112,882</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Notes, Series 2015-VF1,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B</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+ 340 bps</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Jun. 2047</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Jun. 2017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8,258</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7,742</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12,268</w:t>
            </w:r>
          </w:p>
        </w:tc>
      </w:tr>
      <w:tr>
        <w:trPr>
          <w:trHeight w:val="486"/>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10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Available</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18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680" w:type="dxa"/>
            <w:vAlign w:val="bottom"/>
            <w:gridSpan w:val="2"/>
          </w:tcPr>
          <w:p>
            <w:pPr>
              <w:ind w:left="660"/>
              <w:spacing w:after="0"/>
              <w:rPr>
                <w:sz w:val="20"/>
                <w:szCs w:val="20"/>
                <w:color w:val="auto"/>
              </w:rPr>
            </w:pPr>
            <w:r>
              <w:rPr>
                <w:rFonts w:ascii="Arial" w:cs="Arial" w:eastAsia="Arial" w:hAnsi="Arial"/>
                <w:sz w:val="18"/>
                <w:szCs w:val="18"/>
                <w:b w:val="1"/>
                <w:bCs w:val="1"/>
                <w:color w:val="auto"/>
              </w:rPr>
              <w:t>Borrowing Type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7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Date (1)</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Capacity (2)</w:t>
            </w: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2"/>
        </w:trPr>
        <w:tc>
          <w:tcPr>
            <w:tcW w:w="2680" w:type="dxa"/>
            <w:vAlign w:val="bottom"/>
            <w:gridSpan w:val="2"/>
            <w:shd w:val="clear" w:color="auto" w:fill="EAF9E8"/>
          </w:tcPr>
          <w:p>
            <w:pPr>
              <w:jc w:val="center"/>
              <w:ind w:right="460"/>
              <w:spacing w:after="0"/>
              <w:rPr>
                <w:sz w:val="20"/>
                <w:szCs w:val="20"/>
                <w:color w:val="auto"/>
              </w:rPr>
            </w:pPr>
            <w:r>
              <w:rPr>
                <w:rFonts w:ascii="Arial" w:cs="Arial" w:eastAsia="Arial" w:hAnsi="Arial"/>
                <w:sz w:val="18"/>
                <w:szCs w:val="18"/>
                <w:color w:val="auto"/>
                <w:w w:val="89"/>
              </w:rPr>
              <w:t>Advance Receivables Backed</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680" w:type="dxa"/>
            <w:vAlign w:val="bottom"/>
            <w:gridSpan w:val="2"/>
            <w:shd w:val="clear" w:color="auto" w:fill="EAF9E8"/>
          </w:tcPr>
          <w:p>
            <w:pPr>
              <w:jc w:val="center"/>
              <w:ind w:right="500"/>
              <w:spacing w:after="0"/>
              <w:rPr>
                <w:sz w:val="20"/>
                <w:szCs w:val="20"/>
                <w:color w:val="auto"/>
              </w:rPr>
            </w:pPr>
            <w:r>
              <w:rPr>
                <w:rFonts w:ascii="Arial" w:cs="Arial" w:eastAsia="Arial" w:hAnsi="Arial"/>
                <w:sz w:val="18"/>
                <w:szCs w:val="18"/>
                <w:color w:val="auto"/>
                <w:w w:val="90"/>
              </w:rPr>
              <w:t>Notes, Series 2015-VF1,</w:t>
            </w: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37"/>
        </w:trPr>
        <w:tc>
          <w:tcPr>
            <w:tcW w:w="26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+ 400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Jun. 2047</w:t>
            </w:r>
          </w:p>
        </w:tc>
        <w:tc>
          <w:tcPr>
            <w:tcW w:w="172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8"/>
              </w:rPr>
              <w:t>Jun. 2017</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3,518</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3,482</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5,951</w:t>
            </w:r>
          </w:p>
        </w:tc>
      </w:tr>
      <w:tr>
        <w:trPr>
          <w:trHeight w:val="229"/>
        </w:trPr>
        <w:tc>
          <w:tcPr>
            <w:tcW w:w="26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Advance Receivables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68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Notes, Series 2015-VF1,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Class 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+ 480 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2047</w:t>
            </w:r>
          </w:p>
        </w:tc>
        <w:tc>
          <w:tcPr>
            <w:tcW w:w="172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Jun. 2017</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8,666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8,377</w:t>
            </w:r>
          </w:p>
        </w:tc>
      </w:tr>
      <w:tr>
        <w:trPr>
          <w:trHeight w:val="27"/>
        </w:trPr>
        <w:tc>
          <w:tcPr>
            <w:tcW w:w="2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5"/>
        </w:trPr>
        <w:tc>
          <w:tcPr>
            <w:tcW w:w="2680" w:type="dxa"/>
            <w:vAlign w:val="bottom"/>
            <w:gridSpan w:val="2"/>
            <w:shd w:val="clear" w:color="auto" w:fill="EAF9E8"/>
          </w:tcPr>
          <w:p>
            <w:pPr>
              <w:ind w:left="180"/>
              <w:spacing w:after="0" w:line="205" w:lineRule="exact"/>
              <w:rPr>
                <w:sz w:val="20"/>
                <w:szCs w:val="20"/>
                <w:color w:val="auto"/>
              </w:rPr>
            </w:pPr>
            <w:r>
              <w:rPr>
                <w:rFonts w:ascii="Arial" w:cs="Arial" w:eastAsia="Arial" w:hAnsi="Arial"/>
                <w:sz w:val="18"/>
                <w:szCs w:val="18"/>
                <w:b w:val="1"/>
                <w:bCs w:val="1"/>
                <w:color w:val="auto"/>
                <w:w w:val="96"/>
              </w:rPr>
              <w:t>Total Ocwen Freddie Advance</w:t>
            </w:r>
          </w:p>
        </w:tc>
        <w:tc>
          <w:tcPr>
            <w:tcW w:w="12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261"/>
        </w:trPr>
        <w:tc>
          <w:tcPr>
            <w:tcW w:w="268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b w:val="1"/>
                <w:bCs w:val="1"/>
                <w:color w:val="auto"/>
              </w:rPr>
              <w:t>Funding Facility (OFAF) (7)</w:t>
            </w: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53,830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106,170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139,478</w:t>
            </w:r>
          </w:p>
        </w:tc>
      </w:tr>
      <w:tr>
        <w:trPr>
          <w:trHeight w:val="318"/>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75"/>
        </w:trPr>
        <w:tc>
          <w:tcPr>
            <w:tcW w:w="25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72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204,468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1,365,532</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1,584,049</w:t>
            </w:r>
          </w:p>
        </w:tc>
      </w:tr>
      <w:tr>
        <w:trPr>
          <w:trHeight w:val="20"/>
        </w:trPr>
        <w:tc>
          <w:tcPr>
            <w:tcW w:w="25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4"/>
        </w:trPr>
        <w:tc>
          <w:tcPr>
            <w:tcW w:w="2680" w:type="dxa"/>
            <w:vAlign w:val="bottom"/>
            <w:tcBorders>
              <w:bottom w:val="single" w:sz="8" w:color="EAF9E8"/>
            </w:tcBorders>
            <w:gridSpan w:val="2"/>
            <w:shd w:val="clear" w:color="auto" w:fill="EAF9E8"/>
          </w:tcPr>
          <w:p>
            <w:pPr>
              <w:jc w:val="center"/>
              <w:ind w:right="420"/>
              <w:spacing w:after="0"/>
              <w:rPr>
                <w:sz w:val="20"/>
                <w:szCs w:val="20"/>
                <w:color w:val="auto"/>
              </w:rPr>
            </w:pPr>
            <w:r>
              <w:rPr>
                <w:rFonts w:ascii="Arial" w:cs="Arial" w:eastAsia="Arial" w:hAnsi="Arial"/>
                <w:sz w:val="18"/>
                <w:szCs w:val="18"/>
                <w:color w:val="auto"/>
                <w:w w:val="88"/>
              </w:rPr>
              <w:t>Weighted average interest rate</w:t>
            </w: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spacing w:after="0"/>
              <w:rPr>
                <w:sz w:val="22"/>
                <w:szCs w:val="22"/>
                <w:color w:val="auto"/>
              </w:rPr>
            </w:pPr>
          </w:p>
        </w:tc>
        <w:tc>
          <w:tcPr>
            <w:tcW w:w="13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3.15%</w:t>
            </w: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51"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ind w:left="500" w:right="280" w:hanging="492"/>
        <w:spacing w:after="0" w:line="246"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September 30, 2016, none of the available borrowing capacity could be used based on the amount of eligible collateral that had been pledged.</w:t>
      </w:r>
    </w:p>
    <w:p>
      <w:pPr>
        <w:ind w:left="500" w:hanging="492"/>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1ML was 0.53% and 0.43% at September 30, 2016 and December 31, 2015, respectively.</w:t>
      </w:r>
    </w:p>
    <w:p>
      <w:pPr>
        <w:spacing w:after="0" w:line="5" w:lineRule="exact"/>
        <w:rPr>
          <w:rFonts w:ascii="Arial" w:cs="Arial" w:eastAsia="Arial" w:hAnsi="Arial"/>
          <w:sz w:val="16"/>
          <w:szCs w:val="16"/>
          <w:color w:val="auto"/>
        </w:rPr>
      </w:pPr>
    </w:p>
    <w:p>
      <w:pPr>
        <w:ind w:left="500" w:right="200" w:hanging="492"/>
        <w:spacing w:after="0" w:line="246"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August 12, 2016, the supplemental indentures for the OMART facility variable funding notes were amended to reduce the borrowing capacity of each series from $200.0 million to $140.0 million or a total decrease in borrowing capacity of $180.0 million. There is a ceiling of 75bps for 1ML in determining the interest rate for these variable rate notes.</w:t>
      </w:r>
    </w:p>
    <w:p>
      <w:pPr>
        <w:spacing w:after="0" w:line="1" w:lineRule="exact"/>
        <w:rPr>
          <w:rFonts w:ascii="Arial" w:cs="Arial" w:eastAsia="Arial" w:hAnsi="Arial"/>
          <w:sz w:val="16"/>
          <w:szCs w:val="16"/>
          <w:color w:val="auto"/>
        </w:rPr>
      </w:pPr>
    </w:p>
    <w:p>
      <w:pPr>
        <w:ind w:left="500" w:right="60" w:hanging="492"/>
        <w:spacing w:after="0" w:line="281"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Under the terms of the agreement, we must continue to borrow the full amount of the Series 2015-T3 Notes and the Series 2016-T1 and T2 Notes until the amortization date. If there is insufficient collateral to support the level of borrowing, the excess cash proceeds are not distributed to Ocwen but are held by the trustee, and interest expense continues to be based on the full amount of the term notes. On August 12, 2016, we issued the Series 2016-T1 and 2016-T2 Notes with a total borrowing capacity of $500.0 million. The proceeds from these notes were used to prepay at par the $500.0 million of Series 2015-T1 and 2015-T2 notes that were outstanding.</w:t>
      </w:r>
    </w:p>
    <w:p>
      <w:pPr>
        <w:spacing w:after="0" w:line="2" w:lineRule="exact"/>
        <w:rPr>
          <w:rFonts w:ascii="Arial" w:cs="Arial" w:eastAsia="Arial" w:hAnsi="Arial"/>
          <w:sz w:val="14"/>
          <w:szCs w:val="14"/>
          <w:color w:val="auto"/>
        </w:rPr>
      </w:pPr>
    </w:p>
    <w:p>
      <w:pPr>
        <w:ind w:left="500" w:right="20" w:hanging="492"/>
        <w:spacing w:after="0" w:line="246"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March 31, 2016, the maximum borrowing capacity under the OSART III facility was increased to $90.0 million. There is a ceiling of 75 bps for 1ML in determining the interest rate for these variable rate notes.</w:t>
      </w:r>
    </w:p>
    <w:p>
      <w:pPr>
        <w:ind w:left="500" w:right="240" w:hanging="492"/>
        <w:spacing w:after="0" w:line="257"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March 31, 2016, the combined borrowing capacity of the Series 2015-VF1 Notes was increased to $160.0 million. On June 10, 2016, the term of this facility was extended for an additional year. There is a ceiling of 125 bps for 1ML in determining the interest rate for these notes.</w:t>
      </w:r>
    </w:p>
    <w:p>
      <w:pPr>
        <w:spacing w:after="0" w:line="7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Pursuant to our agreements with NRZ, NRZ has assumed the obligation to fund new servicing advances with respect to the Rights to MSRs. We are dependent upon NRZ for financing of the servicing advance obligations for Rights to MSRs where we are the servicer. NRZ currently uses advance financing facilities in order to fund a substantial portion of the servicing advances that they are contractually obligated to make pursuant to our agreements with them. As of September 30, 2016, we were the servicer on Rights to MSRs sold to NRZ pertaining to approximately $123.2 billion in UPB and the associated outstanding servicing advances as of such date were approximately $4.3 billion. Should NRZ’s advance financing facilities fail to perform as envisaged or should NRZ otherwise be unable to meet its advance financing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w:t>
      </w:r>
    </w:p>
    <w:p>
      <w:pPr>
        <w:spacing w:after="0" w:line="7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our sale of advances to NRZ.</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2"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Financing Liabilities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860" w:type="dxa"/>
            <w:vAlign w:val="bottom"/>
            <w:gridSpan w:val="4"/>
          </w:tcPr>
          <w:p>
            <w:pPr>
              <w:ind w:left="340"/>
              <w:spacing w:after="0"/>
              <w:rPr>
                <w:sz w:val="20"/>
                <w:szCs w:val="20"/>
                <w:color w:val="auto"/>
              </w:rPr>
            </w:pPr>
            <w:r>
              <w:rPr>
                <w:rFonts w:ascii="Arial" w:cs="Arial" w:eastAsia="Arial" w:hAnsi="Arial"/>
                <w:sz w:val="18"/>
                <w:szCs w:val="18"/>
                <w:color w:val="auto"/>
                <w:w w:val="95"/>
              </w:rPr>
              <w:t>Financing liabilities are comprised of the following at the dates indicated: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580" w:type="dxa"/>
            <w:vAlign w:val="bottom"/>
            <w:gridSpan w:val="2"/>
          </w:tcPr>
          <w:p>
            <w:pPr>
              <w:ind w:left="178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494,532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541,704</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5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Secured Notes, Ocwen Asset Servicing Income Series,</w:t>
            </w: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37"/>
        </w:trPr>
        <w:tc>
          <w:tcPr>
            <w:tcW w:w="458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Series 2014-1 (2)</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8"/>
                <w:szCs w:val="18"/>
                <w:color w:val="auto"/>
                <w:w w:val="88"/>
              </w:rPr>
              <w:t>Feb. 2028</w:t>
            </w: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85,063</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96,546</w:t>
            </w: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Advances 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Financing liability – Advances pledged (3)</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loans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23,814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59,643</w:t>
            </w:r>
          </w:p>
        </w:tc>
      </w:tr>
      <w:tr>
        <w:trPr>
          <w:trHeight w:val="27"/>
        </w:trPr>
        <w:tc>
          <w:tcPr>
            <w:tcW w:w="4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603,409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697,893</w:t>
            </w:r>
          </w:p>
        </w:tc>
      </w:tr>
      <w:tr>
        <w:trPr>
          <w:trHeight w:val="291"/>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Lending: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1ML + 256</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HMBS-related borrowings (4)</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investment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bps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3,224,610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2,391,362</w:t>
            </w:r>
          </w:p>
        </w:tc>
      </w:tr>
      <w:tr>
        <w:trPr>
          <w:trHeight w:val="27"/>
        </w:trPr>
        <w:tc>
          <w:tcPr>
            <w:tcW w:w="4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4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3,828,019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3,089,255</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340" w:hanging="492"/>
        <w:spacing w:after="0" w:line="272" w:lineRule="auto"/>
        <w:tabs>
          <w:tab w:leader="none" w:pos="5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This financing liability arose in connection with the NRZ/HLSS Transactions and has no contractual maturity or repayment schedule. The balance of the liability is adjusted each reporting period to its fair value based on the present value of the estimated future cash flows underlying the related MSRs.</w:t>
      </w:r>
    </w:p>
    <w:p>
      <w:pPr>
        <w:spacing w:after="0" w:line="1" w:lineRule="exact"/>
        <w:rPr>
          <w:rFonts w:ascii="Arial" w:cs="Arial" w:eastAsia="Arial" w:hAnsi="Arial"/>
          <w:sz w:val="15"/>
          <w:szCs w:val="15"/>
          <w:color w:val="auto"/>
        </w:rPr>
      </w:pPr>
    </w:p>
    <w:p>
      <w:pPr>
        <w:ind w:left="500" w:right="240" w:hanging="492"/>
        <w:spacing w:after="0" w:line="263" w:lineRule="auto"/>
        <w:tabs>
          <w:tab w:leader="none" w:pos="5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We accounted for this transaction as a financing. Monthly amortization of the liability is estimated using the proportion of monthly projected service fees on the underlying MSRs as a percentage of lifetime projected fees, adjusted for the term of the security.</w:t>
      </w:r>
    </w:p>
    <w:p>
      <w:pPr>
        <w:ind w:left="500" w:right="480" w:hanging="492"/>
        <w:spacing w:after="0" w:line="246"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Certain sales of advances in 2014 did not qualify for sales accounting treatment and were accounted for as a financing. This financing liability has no contractual maturity.</w:t>
      </w:r>
    </w:p>
    <w:p>
      <w:pPr>
        <w:ind w:left="500" w:right="320" w:hanging="492"/>
        <w:spacing w:after="0" w:line="257"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amounts due to the holders of beneficial interests in Ginnie Mae guaranteed HMBS. The beneficial interests have no maturity dates, and the borrowings mature as the related loans are repaid.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secured borrowings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Available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2880" w:type="dxa"/>
            <w:vAlign w:val="bottom"/>
            <w:gridSpan w:val="2"/>
          </w:tcPr>
          <w:p>
            <w:pPr>
              <w:ind w:left="940"/>
              <w:spacing w:after="0"/>
              <w:rPr>
                <w:sz w:val="20"/>
                <w:szCs w:val="20"/>
                <w:color w:val="auto"/>
              </w:rPr>
            </w:pPr>
            <w:r>
              <w:rPr>
                <w:rFonts w:ascii="Arial" w:cs="Arial" w:eastAsia="Arial" w:hAnsi="Arial"/>
                <w:sz w:val="18"/>
                <w:szCs w:val="18"/>
                <w:b w:val="1"/>
                <w:bCs w:val="1"/>
                <w:color w:val="auto"/>
              </w:rPr>
              <w:t>Borrowings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Collateral</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Maturity</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Capacity (1)</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29"/>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1-Month Euro-dollar</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rate + 425 bps with a</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Eurodollar floor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SSTL (2)</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125 bps (2)</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Feb.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323,793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398,454</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27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Loans held for</w:t>
            </w:r>
          </w:p>
        </w:tc>
        <w:tc>
          <w:tcPr>
            <w:tcW w:w="16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57"/>
        </w:trPr>
        <w:tc>
          <w:tcPr>
            <w:tcW w:w="28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Repurchase agreement (3)</w:t>
            </w:r>
          </w:p>
        </w:tc>
        <w:tc>
          <w:tcPr>
            <w:tcW w:w="126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1"/>
              </w:rPr>
              <w:t>sale (LHFS)</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1ML + 200 - 345 bps</w:t>
            </w:r>
          </w:p>
        </w:tc>
        <w:tc>
          <w:tcPr>
            <w:tcW w:w="1260" w:type="dxa"/>
            <w:vAlign w:val="bottom"/>
            <w:tcBorders>
              <w:bottom w:val="single" w:sz="8" w:color="EAF9E8"/>
            </w:tcBorders>
            <w:gridSpan w:val="2"/>
            <w:shd w:val="clear" w:color="auto" w:fill="EAF9E8"/>
          </w:tcPr>
          <w:p>
            <w:pPr>
              <w:ind w:left="220"/>
              <w:spacing w:after="0"/>
              <w:rPr>
                <w:sz w:val="20"/>
                <w:szCs w:val="20"/>
                <w:color w:val="auto"/>
              </w:rPr>
            </w:pPr>
            <w:r>
              <w:rPr>
                <w:rFonts w:ascii="Arial" w:cs="Arial" w:eastAsia="Arial" w:hAnsi="Arial"/>
                <w:sz w:val="18"/>
                <w:szCs w:val="18"/>
                <w:color w:val="auto"/>
              </w:rPr>
              <w:t>Sep. 2017</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35,587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14,413</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42,973</w:t>
            </w: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35,587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338,206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441,427</w:t>
            </w:r>
          </w:p>
        </w:tc>
      </w:tr>
      <w:tr>
        <w:trPr>
          <w:trHeight w:val="27"/>
        </w:trPr>
        <w:tc>
          <w:tcPr>
            <w:tcW w:w="274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9"/>
        </w:trPr>
        <w:tc>
          <w:tcPr>
            <w:tcW w:w="274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14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6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0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3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300" w:type="dxa"/>
            <w:vAlign w:val="bottom"/>
            <w:shd w:val="clear" w:color="auto" w:fill="EAF9E8"/>
          </w:tcPr>
          <w:p>
            <w:pPr>
              <w:spacing w:after="0"/>
              <w:rPr>
                <w:sz w:val="14"/>
                <w:szCs w:val="14"/>
                <w:color w:val="auto"/>
              </w:rPr>
            </w:pPr>
          </w:p>
        </w:tc>
      </w:tr>
      <w:tr>
        <w:trPr>
          <w:trHeight w:val="459"/>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Available</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18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2800" w:type="dxa"/>
            <w:vAlign w:val="bottom"/>
            <w:gridSpan w:val="2"/>
          </w:tcPr>
          <w:p>
            <w:pPr>
              <w:ind w:left="900"/>
              <w:spacing w:after="0"/>
              <w:rPr>
                <w:sz w:val="20"/>
                <w:szCs w:val="20"/>
                <w:color w:val="auto"/>
              </w:rPr>
            </w:pPr>
            <w:r>
              <w:rPr>
                <w:rFonts w:ascii="Arial" w:cs="Arial" w:eastAsia="Arial" w:hAnsi="Arial"/>
                <w:sz w:val="18"/>
                <w:szCs w:val="18"/>
                <w:b w:val="1"/>
                <w:bCs w:val="1"/>
                <w:color w:val="auto"/>
              </w:rPr>
              <w:t>Borrowings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Capacity (1)</w:t>
            </w: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800" w:type="dxa"/>
            <w:vAlign w:val="bottom"/>
            <w:gridSpan w:val="2"/>
          </w:tcPr>
          <w:p>
            <w:pPr>
              <w:ind w:left="40"/>
              <w:spacing w:after="0"/>
              <w:rPr>
                <w:sz w:val="20"/>
                <w:szCs w:val="20"/>
                <w:color w:val="auto"/>
              </w:rPr>
            </w:pPr>
            <w:r>
              <w:rPr>
                <w:rFonts w:ascii="Arial" w:cs="Arial" w:eastAsia="Arial" w:hAnsi="Arial"/>
                <w:sz w:val="18"/>
                <w:szCs w:val="18"/>
                <w:b w:val="1"/>
                <w:bCs w:val="1"/>
                <w:color w:val="auto"/>
              </w:rPr>
              <w:t>Lending:</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6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+ 200 bps;</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37"/>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w w:val="96"/>
              </w:rPr>
              <w:t>Master repurchase agreement (4)</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6"/>
              </w:rPr>
              <w:t>1ML floor of 0.0%</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Nov. 2016</w:t>
            </w: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35,748</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164,252</w:t>
            </w:r>
          </w:p>
        </w:tc>
        <w:tc>
          <w:tcPr>
            <w:tcW w:w="100" w:type="dxa"/>
            <w:vAlign w:val="bottom"/>
            <w:tcBorders>
              <w:bottom w:val="single" w:sz="8" w:color="EAF9E8"/>
            </w:tcBorders>
            <w:shd w:val="clear" w:color="auto" w:fill="EAF9E8"/>
          </w:tcPr>
          <w:p>
            <w:pPr>
              <w:spacing w:after="0"/>
              <w:rPr>
                <w:sz w:val="20"/>
                <w:szCs w:val="20"/>
                <w:color w:val="auto"/>
              </w:rPr>
            </w:pPr>
          </w:p>
        </w:tc>
        <w:tc>
          <w:tcPr>
            <w:tcW w:w="4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156,226</w:t>
            </w:r>
          </w:p>
        </w:tc>
      </w:tr>
      <w:tr>
        <w:trPr>
          <w:trHeight w:val="243"/>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Participation agreement (5)</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 2017 (5)</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51,075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49,897</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Participation agreement (5)</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Apr. 2017 (5)</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61,922</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73,049</w:t>
            </w:r>
          </w:p>
        </w:tc>
      </w:tr>
      <w:tr>
        <w:trPr>
          <w:trHeight w:val="229"/>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+ 275 bps;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2800" w:type="dxa"/>
            <w:vAlign w:val="bottom"/>
            <w:gridSpan w:val="2"/>
          </w:tcPr>
          <w:p>
            <w:pPr>
              <w:ind w:left="180"/>
              <w:spacing w:after="0"/>
              <w:rPr>
                <w:sz w:val="20"/>
                <w:szCs w:val="20"/>
                <w:color w:val="auto"/>
              </w:rPr>
            </w:pPr>
            <w:r>
              <w:rPr>
                <w:rFonts w:ascii="Arial" w:cs="Arial" w:eastAsia="Arial" w:hAnsi="Arial"/>
                <w:sz w:val="18"/>
                <w:szCs w:val="18"/>
                <w:color w:val="auto"/>
                <w:w w:val="99"/>
              </w:rPr>
              <w:t>Mortgage warehouse agreement</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LHFS (reverse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1ML floor of 300 or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80" w:type="dxa"/>
            <w:vAlign w:val="bottom"/>
          </w:tcPr>
          <w:p>
            <w:pPr>
              <w:ind w:left="3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mortgages)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350 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August 2017</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21,941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63,175</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6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LHFS (reverse</w:t>
            </w:r>
          </w:p>
        </w:tc>
        <w:tc>
          <w:tcPr>
            <w:tcW w:w="16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+ 275 bps;</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57"/>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w w:val="96"/>
              </w:rPr>
              <w:t>Master repurchase agreement (7)</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mortgages)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6"/>
              </w:rPr>
              <w:t>1ML floor of 25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Jan. 2017</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60,711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39,289</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96,459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338,479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342,347</w:t>
            </w: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26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5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1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0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3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460" w:type="dxa"/>
            <w:vAlign w:val="bottom"/>
            <w:shd w:val="clear" w:color="auto" w:fill="EAF9E8"/>
          </w:tcPr>
          <w:p>
            <w:pPr>
              <w:spacing w:after="0"/>
              <w:rPr>
                <w:sz w:val="14"/>
                <w:szCs w:val="14"/>
                <w:color w:val="auto"/>
              </w:rPr>
            </w:pPr>
          </w:p>
        </w:tc>
        <w:tc>
          <w:tcPr>
            <w:tcW w:w="1100" w:type="dxa"/>
            <w:vAlign w:val="bottom"/>
            <w:shd w:val="clear" w:color="auto" w:fill="EAF9E8"/>
          </w:tcPr>
          <w:p>
            <w:pPr>
              <w:spacing w:after="0"/>
              <w:rPr>
                <w:sz w:val="14"/>
                <w:szCs w:val="14"/>
                <w:color w:val="auto"/>
              </w:rPr>
            </w:pPr>
          </w:p>
        </w:tc>
      </w:tr>
      <w:tr>
        <w:trPr>
          <w:trHeight w:val="243"/>
        </w:trPr>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132,046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676,685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783,774</w:t>
            </w:r>
          </w:p>
        </w:tc>
      </w:tr>
      <w:tr>
        <w:trPr>
          <w:trHeight w:val="27"/>
        </w:trPr>
        <w:tc>
          <w:tcPr>
            <w:tcW w:w="26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Unamortized debt issuance costs - SSTL</w:t>
            </w:r>
          </w:p>
        </w:tc>
        <w:tc>
          <w:tcPr>
            <w:tcW w:w="15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(12,787)</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(20,012)</w:t>
            </w: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Discount - SSTL</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(1,351)</w:t>
            </w: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6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132,046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663,170</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762,411</w:t>
            </w:r>
          </w:p>
        </w:tc>
      </w:tr>
      <w:tr>
        <w:trPr>
          <w:trHeight w:val="20"/>
        </w:trPr>
        <w:tc>
          <w:tcPr>
            <w:tcW w:w="26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5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64"/>
        </w:trPr>
        <w:tc>
          <w:tcPr>
            <w:tcW w:w="28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Weighted average interest rate</w:t>
            </w: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spacing w:after="0"/>
              <w:rPr>
                <w:sz w:val="22"/>
                <w:szCs w:val="22"/>
                <w:color w:val="auto"/>
              </w:rPr>
            </w:pPr>
          </w:p>
        </w:tc>
        <w:tc>
          <w:tcPr>
            <w:tcW w:w="13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spacing w:after="0"/>
              <w:rPr>
                <w:sz w:val="22"/>
                <w:szCs w:val="22"/>
                <w:color w:val="auto"/>
              </w:rPr>
            </w:pPr>
          </w:p>
        </w:tc>
        <w:tc>
          <w:tcPr>
            <w:tcW w:w="1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4.38%</w:t>
            </w: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80" w:hanging="492"/>
        <w:spacing w:after="0" w:line="255"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our mortgage loan warehouse facilities, available borrowing capacity does not consider the amount of the facility that the lender has extended on an uncommitted basis.</w:t>
      </w:r>
    </w:p>
    <w:p>
      <w:pPr>
        <w:spacing w:after="0" w:line="1" w:lineRule="exact"/>
        <w:rPr>
          <w:rFonts w:ascii="Arial" w:cs="Arial" w:eastAsia="Arial" w:hAnsi="Arial"/>
          <w:sz w:val="16"/>
          <w:szCs w:val="16"/>
          <w:color w:val="auto"/>
        </w:rPr>
      </w:pPr>
    </w:p>
    <w:p>
      <w:pPr>
        <w:ind w:left="500" w:hanging="492"/>
        <w:spacing w:after="0" w:line="248"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borrowings under the SSTL are secured by a first priority security interest in substantially all of the assets of Ocwen, OLS and the other guarantors thereunder, excluding among other things, 35% of the capital stock of foreign subsidiaries, securitization assets and equity interests of securitization entities, assets securing permitted funding indebtedness and non-recourse indebtedness, REO assets, servicing agreements where an acknowledgment from the GSE has not been obtained, as well as other customary carve-outs. Borrowings bear interest, at the election of Ocwen, at a rate per annum equal to either (a) the base rate (the greatest of (i) the prime rate in effect on such day, (ii) the federal funds rate in effect on such day plus 0.50% and (iii) the one-month Eurodollar rate (1-Month LIBOR)), plus a margin of 3.25% and subject to a base rate floor of 2.25% or (b) the one month Eurodollar rate, plus a margin of 4.25% and subject to a one month Eurodollar floor of 1.25%. To date we have elected option (b) to determine the interest rate.</w:t>
      </w:r>
    </w:p>
    <w:p>
      <w:pPr>
        <w:spacing w:after="0" w:line="86" w:lineRule="exact"/>
        <w:rPr>
          <w:rFonts w:ascii="Arial" w:cs="Arial" w:eastAsia="Arial" w:hAnsi="Arial"/>
          <w:sz w:val="16"/>
          <w:szCs w:val="16"/>
          <w:color w:val="auto"/>
        </w:rPr>
      </w:pPr>
    </w:p>
    <w:p>
      <w:pPr>
        <w:ind w:left="500" w:right="140"/>
        <w:spacing w:after="0" w:line="275" w:lineRule="auto"/>
        <w:rPr>
          <w:rFonts w:ascii="Arial" w:cs="Arial" w:eastAsia="Arial" w:hAnsi="Arial"/>
          <w:sz w:val="16"/>
          <w:szCs w:val="16"/>
          <w:color w:val="auto"/>
        </w:rPr>
      </w:pPr>
      <w:r>
        <w:rPr>
          <w:rFonts w:ascii="Arial" w:cs="Arial" w:eastAsia="Arial" w:hAnsi="Arial"/>
          <w:sz w:val="16"/>
          <w:szCs w:val="16"/>
          <w:color w:val="auto"/>
        </w:rPr>
        <w:t>We entered into Amendment No. 5 to Senior Secured Term Loan Facility Agreement (the Amendment) effective as of March 24, 2016. The Amendment, among other things:</w:t>
      </w:r>
    </w:p>
    <w:p>
      <w:pPr>
        <w:spacing w:after="0" w:line="10" w:lineRule="exact"/>
        <w:rPr>
          <w:rFonts w:ascii="Arial" w:cs="Arial" w:eastAsia="Arial" w:hAnsi="Arial"/>
          <w:sz w:val="16"/>
          <w:szCs w:val="16"/>
          <w:color w:val="auto"/>
        </w:rPr>
      </w:pPr>
    </w:p>
    <w:p>
      <w:pPr>
        <w:ind w:left="820" w:hanging="326"/>
        <w:spacing w:after="0"/>
        <w:tabs>
          <w:tab w:leader="none" w:pos="8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permanently removes the consolidated total debt to consolidated tangible net worth ratio, corporate leverage ratio and interest coverage ratio financial covenants;</w:t>
      </w:r>
    </w:p>
    <w:p>
      <w:pPr>
        <w:spacing w:after="0" w:line="42" w:lineRule="exact"/>
        <w:rPr>
          <w:rFonts w:ascii="Arial" w:cs="Arial" w:eastAsia="Arial" w:hAnsi="Arial"/>
          <w:sz w:val="14"/>
          <w:szCs w:val="14"/>
          <w:color w:val="auto"/>
        </w:rPr>
      </w:pPr>
    </w:p>
    <w:p>
      <w:pPr>
        <w:ind w:left="820" w:hanging="326"/>
        <w:spacing w:after="0"/>
        <w:tabs>
          <w:tab w:leader="none" w:pos="8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maintains the loan-to-value ratio covenant at its current 40% level throughout the remaining term of the SSTL;</w:t>
      </w:r>
    </w:p>
    <w:p>
      <w:pPr>
        <w:spacing w:after="0" w:line="5" w:lineRule="exact"/>
        <w:rPr>
          <w:rFonts w:ascii="Arial" w:cs="Arial" w:eastAsia="Arial" w:hAnsi="Arial"/>
          <w:sz w:val="16"/>
          <w:szCs w:val="16"/>
          <w:color w:val="auto"/>
        </w:rPr>
      </w:pPr>
    </w:p>
    <w:p>
      <w:pPr>
        <w:ind w:left="820" w:hanging="326"/>
        <w:spacing w:after="0"/>
        <w:tabs>
          <w:tab w:leader="none" w:pos="8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limits the repurchase of Ocwen’s common stock or options to an amount not to exceed the sum of (i) $20 million plus (ii) an amount equal to (x) $20 million times</w:t>
      </w:r>
    </w:p>
    <w:p>
      <w:pPr>
        <w:spacing w:after="0" w:line="28" w:lineRule="exact"/>
        <w:rPr>
          <w:rFonts w:ascii="Arial" w:cs="Arial" w:eastAsia="Arial" w:hAnsi="Arial"/>
          <w:sz w:val="14"/>
          <w:szCs w:val="14"/>
          <w:color w:val="auto"/>
        </w:rPr>
      </w:pPr>
    </w:p>
    <w:p>
      <w:pPr>
        <w:ind w:left="820"/>
        <w:spacing w:after="0"/>
        <w:rPr>
          <w:rFonts w:ascii="Arial" w:cs="Arial" w:eastAsia="Arial" w:hAnsi="Arial"/>
          <w:sz w:val="14"/>
          <w:szCs w:val="14"/>
          <w:color w:val="auto"/>
        </w:rPr>
      </w:pPr>
      <w:r>
        <w:rPr>
          <w:rFonts w:ascii="Arial" w:cs="Arial" w:eastAsia="Arial" w:hAnsi="Arial"/>
          <w:sz w:val="16"/>
          <w:szCs w:val="16"/>
          <w:color w:val="auto"/>
        </w:rPr>
        <w:t>(y) the aggregate amount of prepayments on the SSTL made after March 28, 2016 divided by $50 million;</w:t>
      </w:r>
    </w:p>
    <w:p>
      <w:pPr>
        <w:spacing w:after="0" w:line="5" w:lineRule="exact"/>
        <w:rPr>
          <w:rFonts w:ascii="Arial" w:cs="Arial" w:eastAsia="Arial" w:hAnsi="Arial"/>
          <w:sz w:val="14"/>
          <w:szCs w:val="14"/>
          <w:color w:val="auto"/>
        </w:rPr>
      </w:pPr>
    </w:p>
    <w:p>
      <w:pPr>
        <w:ind w:left="820" w:right="200" w:hanging="326"/>
        <w:spacing w:after="0" w:line="263" w:lineRule="auto"/>
        <w:tabs>
          <w:tab w:leader="none" w:pos="8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limits the repurchase of Ocwen’s 6.625% Senior Notes (the Senior Unsecured Notes) due 2019 to an amount not to exceed the sum of (i) $30 million plus (ii) an amount equal to (x) $30 million times (y) the aggregate amount of prepayments on the SSTL made after March 28, 2016 divided by $50 million;</w:t>
      </w:r>
    </w:p>
    <w:p>
      <w:pPr>
        <w:ind w:left="820" w:right="360" w:hanging="326"/>
        <w:spacing w:after="0" w:line="246" w:lineRule="auto"/>
        <w:tabs>
          <w:tab w:leader="none" w:pos="8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requires that we make a prepayment on the SSTL in an amount equal to $6.3 million (for a total of $19.0 million) on each of May 31, 2016, July 29, 2016 and September 30, 2016; and</w:t>
      </w:r>
    </w:p>
    <w:p>
      <w:pPr>
        <w:ind w:left="820" w:hanging="326"/>
        <w:spacing w:after="0"/>
        <w:tabs>
          <w:tab w:leader="none" w:pos="8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provides for a fee payable to the consenting lenders equal to 1.0% of the aggregate amount of such consenting lenders’ SSTL loans outstanding.</w:t>
      </w:r>
    </w:p>
    <w:p>
      <w:pPr>
        <w:spacing w:after="0" w:line="5" w:lineRule="exact"/>
        <w:rPr>
          <w:rFonts w:ascii="Arial" w:cs="Arial" w:eastAsia="Arial" w:hAnsi="Arial"/>
          <w:sz w:val="16"/>
          <w:szCs w:val="16"/>
          <w:color w:val="auto"/>
        </w:rPr>
      </w:pPr>
    </w:p>
    <w:p>
      <w:pPr>
        <w:ind w:left="500" w:right="80" w:hanging="492"/>
        <w:spacing w:after="0" w:line="246"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maximum borrowing under this facility is limited to the lesser of $100.0 million or $550.0 million less the lender’s current lending to Ocwen under advance funding facilities. Fifty percent of the maximum borrowing is available on a committed basis and fifty percent is available at the discretion of the lender. On September 29, 2016, we renewed this facility through September 28, 2017 with no change in interest rates or maximum borrowing capacity.</w:t>
      </w:r>
    </w:p>
    <w:p>
      <w:pPr>
        <w:spacing w:after="0" w:line="1" w:lineRule="exact"/>
        <w:rPr>
          <w:rFonts w:ascii="Arial" w:cs="Arial" w:eastAsia="Arial" w:hAnsi="Arial"/>
          <w:sz w:val="16"/>
          <w:szCs w:val="16"/>
          <w:color w:val="auto"/>
        </w:rPr>
      </w:pPr>
    </w:p>
    <w:p>
      <w:pPr>
        <w:ind w:left="500" w:right="140" w:hanging="492"/>
        <w:spacing w:after="0" w:line="252"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this repurchase agreement, the lender provides financing on a committed basis for $200.0 million. On September 30, 2016, we extended the term of this agreement to November 30, 2016 with no change in rates or maximum borrowing capacity, although a LIBOR floor of 0.0% was added to the terms of the facility. We are in discussions with our lender for the renewal of this facility and expect to renew the agreement in normal course.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2" w:right="239" w:bottom="1440" w:gutter="0" w:footer="0" w:header="0"/>
        </w:sectPr>
      </w:pPr>
    </w:p>
    <w:bookmarkStart w:id="37" w:name="page38"/>
    <w:bookmarkEnd w:id="37"/>
    <w:p>
      <w:pPr>
        <w:jc w:val="both"/>
        <w:ind w:left="500" w:right="20" w:hanging="492"/>
        <w:spacing w:after="0" w:line="251"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Under these participation agreements, the lender provides financing for a combined total of $250.0 million at the discretion of the lender. The participation agreements allow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April 26, 2016, the term of these agreements was extended to April 30, 2017.</w:t>
      </w:r>
    </w:p>
    <w:p>
      <w:pPr>
        <w:ind w:left="500" w:right="420" w:hanging="492"/>
        <w:spacing w:after="0" w:line="246"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Borrowing capacity of $110.0 million under this facility is available at the discretion of the lender. On August 7, 2016, the term of this agreement was extended to August 17, 2017.</w:t>
      </w:r>
    </w:p>
    <w:p>
      <w:pPr>
        <w:ind w:left="500" w:hanging="492"/>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entered into this agreement on January 5, 2016. The lender provides financing on a committed basis for $100.0 million.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On May 12, 2014, Ocwen completed the issuance and sale of its $350.0 million 6.625% Senior Unsecured Notes. The Senior Unsecured Notes are general senior unsecured obligations of Ocwen and will mature on May 15, 2019. The Senior Unsecured Notes are not guaranteed by any of Ocwen’s subsidiaries.</w:t>
      </w:r>
    </w:p>
    <w:p>
      <w:pPr>
        <w:spacing w:after="0" w:line="1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balances of Senior Unsecured Notes as reported on our Unaudited Consolidated Balance Sheets are net of unamortized debt issuance costs of $3.5 million and $4.5 million at September 30, 2016 and December 31, 2015,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our ability to engage in various activities, including but not limited to incurring additional debt, paying dividends, repurchasing or redeeming capital stock or junior capital, transferring assets or making loans, investments or acquisitions;</w:t>
      </w:r>
    </w:p>
    <w:p>
      <w:pPr>
        <w:ind w:left="660" w:right="2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20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a requirement under our SSTL that Ocwen’s financial statements and the related audit report be unqualified as to going concern.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specified loan to collateral value ratio, as defined under our SSTL;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specified levels of tangible net worth and liquidity at the consolidated and OLS levels.</w:t>
      </w:r>
    </w:p>
    <w:p>
      <w:pPr>
        <w:spacing w:after="0" w:line="10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As of September 30, 2016, the most restrictive consolidated tangible net worth requirements were for a minimum of $1.1 billion at OLS under our match funded debt agreements and three repurchase agreements (Servicing and Lending) and $575.0 million at Ocwen under a master repurchase agreement (Lending).</w:t>
      </w:r>
    </w:p>
    <w:p>
      <w:pPr>
        <w:spacing w:after="0" w:line="7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a material adverse change, insolvency, bankruptcy, certain material judgments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6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believe that we are in compliance with all of the qualitative and quantitative covenants in our debt agreements as of the date of these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9"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12 – Other Liabilities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liabilities were comprised of the following at the dates indicated: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liability (1)</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261,589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346,984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legal fees and settlements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110,716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74,922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84,210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113,934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to NRZ (2)</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68,492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18,538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31,005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uncertain tax positions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23,658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44,751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Checks held for escheat</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16,027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10,050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3,667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Payable to loan servicing and subservicing investors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7,326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Derivatives, at fair value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103,233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74,791</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718,831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744,444</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40" w:hanging="492"/>
        <w:spacing w:after="0" w:line="255"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connection with the Ginnie Mae EBO program, we have re-recognized certain loans on our consolidated balance sheets and established a corresponding repurchase liability regardless of our intention to repurchase the loan.</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Balances represent advance collections and servicing fees to be remitted to NRZ.</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 Financial Instruments and Hedging Activities</w:t>
      </w:r>
    </w:p>
    <w:p>
      <w:pPr>
        <w:spacing w:after="0" w:line="121"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Because many of our current derivative agreements are not exchange-traded, we are exposed to credit loss in the event of nonperformance by the counterparty to the agreements.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The notional amount of our contracts does not represent our exposure to credit loss.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changes in the notional balances of our holdings of derivatives during the nine months ended September 30, 2016: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Forward MBS</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Interest Rate</w:t>
            </w:r>
          </w:p>
        </w:tc>
      </w:tr>
      <w:tr>
        <w:trPr>
          <w:trHeight w:val="234"/>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IRLCs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Trades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Caps</w:t>
            </w:r>
          </w:p>
        </w:tc>
      </w:tr>
      <w:tr>
        <w:trPr>
          <w:trHeight w:val="27"/>
        </w:trPr>
        <w:tc>
          <w:tcPr>
            <w:tcW w:w="67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notional balance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278,317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632,720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2,110,000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5,200,747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4,210,788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625,000</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(700,000)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(3,879,488)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(1,994,649)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16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(1,109,562)</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(2,122,842)</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(975,000)</w:t>
            </w:r>
          </w:p>
        </w:tc>
      </w:tr>
      <w:tr>
        <w:trPr>
          <w:trHeight w:val="297"/>
        </w:trPr>
        <w:tc>
          <w:tcPr>
            <w:tcW w:w="674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notional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490,014</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726,017</w:t>
            </w:r>
          </w:p>
        </w:tc>
        <w:tc>
          <w:tcPr>
            <w:tcW w:w="10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1,060,000</w:t>
            </w:r>
          </w:p>
        </w:tc>
      </w:tr>
      <w:tr>
        <w:trPr>
          <w:trHeight w:val="284"/>
        </w:trPr>
        <w:tc>
          <w:tcPr>
            <w:tcW w:w="67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r>
      <w:tr>
        <w:trPr>
          <w:trHeight w:val="229"/>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Oct. 2016 - Jan.</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Nov. 2016 - July</w:t>
            </w: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Maturity</w:t>
            </w: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 2016</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67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derivative assets (liabilities) at:</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September 30, 2016</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10,827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December 31, 2015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2,042</w:t>
            </w:r>
          </w:p>
        </w:tc>
      </w:tr>
    </w:tbl>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loans are originated and sold or as loan commitments expire, our forward MBS trade positions mature and are replaced by new positions based upon new loan originations and commitments and expected time to sell.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1-month LIBOR, that is used in determining the interest rate on the debt. We currently do not hedge our fixed rate debt.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85"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following summarizes our open derivative positions at September 30, 2016 and the gains (losses) on all derivatives used in each of the identified hedging programs for the period then ended. None of the derivatives was designated as a hedge for accounting purposes at September 30, 2016: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3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Statements of</w:t>
            </w:r>
          </w:p>
        </w:tc>
      </w:tr>
      <w:tr>
        <w:trPr>
          <w:trHeight w:val="216"/>
        </w:trPr>
        <w:tc>
          <w:tcPr>
            <w:tcW w:w="388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Expiration</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34"/>
        </w:trPr>
        <w:tc>
          <w:tcPr>
            <w:tcW w:w="3880" w:type="dxa"/>
            <w:vAlign w:val="bottom"/>
          </w:tcPr>
          <w:p>
            <w:pPr>
              <w:ind w:left="1640"/>
              <w:spacing w:after="0"/>
              <w:rPr>
                <w:sz w:val="20"/>
                <w:szCs w:val="20"/>
                <w:color w:val="auto"/>
              </w:rPr>
            </w:pPr>
            <w:r>
              <w:rPr>
                <w:rFonts w:ascii="Arial" w:cs="Arial" w:eastAsia="Arial" w:hAnsi="Arial"/>
                <w:sz w:val="18"/>
                <w:szCs w:val="18"/>
                <w:b w:val="1"/>
                <w:bCs w:val="1"/>
                <w:color w:val="auto"/>
              </w:rPr>
              <w:t>Purpose</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Notional Amount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 (1)</w:t>
            </w:r>
          </w:p>
        </w:tc>
        <w:tc>
          <w:tcPr>
            <w:tcW w:w="14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Gains / (Losses)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r>
      <w:tr>
        <w:trPr>
          <w:trHeight w:val="27"/>
        </w:trPr>
        <w:tc>
          <w:tcPr>
            <w:tcW w:w="3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Interest rate risk of borrowings</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29"/>
        </w:trPr>
        <w:tc>
          <w:tcPr>
            <w:tcW w:w="388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Nov. 2016 -</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Interest rate caps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2018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1,060,000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Other, net</w:t>
            </w:r>
          </w:p>
        </w:tc>
      </w:tr>
      <w:tr>
        <w:trPr>
          <w:trHeight w:val="27"/>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388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w w:val="92"/>
              </w:rPr>
              <w:t>Interest rate risk of mortgage loans held for sale</w:t>
            </w: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41"/>
        </w:trPr>
        <w:tc>
          <w:tcPr>
            <w:tcW w:w="38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and of IRLCs</w:t>
            </w: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40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spacing w:after="0"/>
              <w:rPr>
                <w:sz w:val="20"/>
                <w:szCs w:val="20"/>
                <w:color w:val="auto"/>
              </w:rPr>
            </w:pPr>
          </w:p>
        </w:tc>
      </w:tr>
      <w:tr>
        <w:trPr>
          <w:trHeight w:val="229"/>
        </w:trPr>
        <w:tc>
          <w:tcPr>
            <w:tcW w:w="3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Gain on loans held</w:t>
            </w: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Forward MBS trades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2016</w:t>
            </w:r>
          </w:p>
        </w:tc>
        <w:tc>
          <w:tcPr>
            <w:tcW w:w="4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726,017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(25,677)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for sale, net</w:t>
            </w:r>
          </w:p>
        </w:tc>
      </w:tr>
      <w:tr>
        <w:trPr>
          <w:trHeight w:val="27"/>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388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Oct. 2016 -</w:t>
            </w:r>
          </w:p>
        </w:tc>
        <w:tc>
          <w:tcPr>
            <w:tcW w:w="4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Gain on loans held</w:t>
            </w:r>
          </w:p>
        </w:tc>
      </w:tr>
      <w:tr>
        <w:trPr>
          <w:trHeight w:val="257"/>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IRLCs</w:t>
            </w:r>
          </w:p>
        </w:tc>
        <w:tc>
          <w:tcPr>
            <w:tcW w:w="12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Jan. 2017</w:t>
            </w:r>
          </w:p>
        </w:tc>
        <w:tc>
          <w:tcPr>
            <w:tcW w:w="40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490,014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10,827</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4,148</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for sale, net</w:t>
            </w:r>
          </w:p>
        </w:tc>
      </w:tr>
      <w:tr>
        <w:trPr>
          <w:trHeight w:val="257"/>
        </w:trPr>
        <w:tc>
          <w:tcPr>
            <w:tcW w:w="3880" w:type="dxa"/>
            <w:vAlign w:val="bottom"/>
          </w:tcPr>
          <w:p>
            <w:pPr>
              <w:ind w:left="380"/>
              <w:spacing w:after="0"/>
              <w:rPr>
                <w:sz w:val="20"/>
                <w:szCs w:val="20"/>
                <w:color w:val="auto"/>
              </w:rPr>
            </w:pPr>
            <w:r>
              <w:rPr>
                <w:rFonts w:ascii="Arial" w:cs="Arial" w:eastAsia="Arial" w:hAnsi="Arial"/>
                <w:sz w:val="18"/>
                <w:szCs w:val="18"/>
                <w:color w:val="auto"/>
              </w:rPr>
              <w:t>Total derivatives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9,095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(23,479)</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Derivatives are reported at fair value in Other assets or in Other liabilities on our Unaudited Consolidated Balance Sheets.</w:t>
      </w:r>
    </w:p>
    <w:p>
      <w:pPr>
        <w:spacing w:after="0" w:line="217" w:lineRule="exact"/>
        <w:rPr>
          <w:sz w:val="20"/>
          <w:szCs w:val="20"/>
          <w:color w:val="auto"/>
        </w:rPr>
      </w:pPr>
    </w:p>
    <w:p>
      <w:pPr>
        <w:ind w:left="60" w:firstLine="324"/>
        <w:spacing w:after="0" w:line="264" w:lineRule="auto"/>
        <w:rPr>
          <w:sz w:val="20"/>
          <w:szCs w:val="20"/>
          <w:color w:val="auto"/>
        </w:rPr>
      </w:pPr>
      <w:r>
        <w:rPr>
          <w:rFonts w:ascii="Arial" w:cs="Arial" w:eastAsia="Arial" w:hAnsi="Arial"/>
          <w:sz w:val="18"/>
          <w:szCs w:val="18"/>
          <w:color w:val="auto"/>
        </w:rPr>
        <w:t>Included in Accumulated other comprehensive loss (AOCL) at September 30, 2016 and 2015, respectively, were $1.5 million and $1.9 million of deferred unrealized losses, before taxes of $0.1 million and $0.1 million, respectively, on interest rate swaps that we designated as cash flow hedges. Changes in AOCL during the nine months ended September 30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3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440" w:type="dxa"/>
            <w:vAlign w:val="bottom"/>
            <w:tcBorders>
              <w:bottom w:val="single" w:sz="8" w:color="EAF9E8"/>
            </w:tcBorders>
          </w:tcPr>
          <w:p>
            <w:pPr>
              <w:spacing w:after="0"/>
              <w:rPr>
                <w:sz w:val="2"/>
                <w:szCs w:val="2"/>
                <w:color w:val="auto"/>
              </w:rPr>
            </w:pPr>
          </w:p>
        </w:tc>
        <w:tc>
          <w:tcPr>
            <w:tcW w:w="290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860" w:type="dxa"/>
            <w:vAlign w:val="bottom"/>
            <w:tcBorders>
              <w:bottom w:val="single" w:sz="8" w:color="EAF9E8"/>
            </w:tcBorders>
            <w:gridSpan w:val="2"/>
            <w:shd w:val="clear" w:color="auto" w:fill="EAF9E8"/>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1,763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9"/>
              </w:rPr>
              <w:t>Losses on terminated hedging relationships amortized to earnings</w:t>
            </w:r>
          </w:p>
        </w:tc>
        <w:tc>
          <w:tcPr>
            <w:tcW w:w="29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(6,916)</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w w:val="91"/>
              </w:rPr>
              <w:t>Decrease in deferred taxes on accumulated losses on cash flow hedges</w:t>
            </w:r>
          </w:p>
        </w:tc>
        <w:tc>
          <w:tcPr>
            <w:tcW w:w="2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5440" w:type="dxa"/>
            <w:vAlign w:val="bottom"/>
            <w:tcBorders>
              <w:bottom w:val="single" w:sz="8" w:color="EAF9E8"/>
            </w:tcBorders>
          </w:tcPr>
          <w:p>
            <w:pPr>
              <w:spacing w:after="0"/>
              <w:rPr>
                <w:sz w:val="2"/>
                <w:szCs w:val="2"/>
                <w:color w:val="auto"/>
              </w:rPr>
            </w:pPr>
          </w:p>
        </w:tc>
        <w:tc>
          <w:tcPr>
            <w:tcW w:w="290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6"/>
              </w:rPr>
              <w:t>Decrease in accumulated losses on cash flow hedges, net of taxes</w:t>
            </w:r>
          </w:p>
        </w:tc>
        <w:tc>
          <w:tcPr>
            <w:tcW w:w="290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spacing w:after="0"/>
              <w:rPr>
                <w:sz w:val="22"/>
                <w:szCs w:val="22"/>
                <w:color w:val="auto"/>
              </w:rPr>
            </w:pPr>
          </w:p>
        </w:tc>
        <w:tc>
          <w:tcPr>
            <w:tcW w:w="5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44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860" w:type="dxa"/>
            <w:vAlign w:val="bottom"/>
            <w:gridSpan w:val="2"/>
            <w:shd w:val="clear" w:color="auto" w:fill="EAF9E8"/>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3"/>
              </w:rPr>
              <w:t>1,500</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0"/>
        </w:trPr>
        <w:tc>
          <w:tcPr>
            <w:tcW w:w="5440" w:type="dxa"/>
            <w:vAlign w:val="bottom"/>
            <w:tcBorders>
              <w:top w:val="single" w:sz="8" w:color="EAF9E8"/>
            </w:tcBorders>
          </w:tcPr>
          <w:p>
            <w:pPr>
              <w:spacing w:after="0" w:line="20" w:lineRule="exact"/>
              <w:rPr>
                <w:sz w:val="1"/>
                <w:szCs w:val="1"/>
                <w:color w:val="auto"/>
              </w:rPr>
            </w:pPr>
          </w:p>
        </w:tc>
        <w:tc>
          <w:tcPr>
            <w:tcW w:w="2900" w:type="dxa"/>
            <w:vAlign w:val="bottom"/>
            <w:tcBorders>
              <w:top w:val="single" w:sz="8" w:color="EAF9E8"/>
              <w:bottom w:val="single" w:sz="8" w:color="EAF9E8"/>
            </w:tcBorders>
            <w:vMerge w:val="restart"/>
          </w:tcPr>
          <w:p>
            <w:pPr>
              <w:jc w:val="right"/>
              <w:ind w:right="2450"/>
              <w:spacing w:after="0"/>
              <w:rPr>
                <w:sz w:val="20"/>
                <w:szCs w:val="20"/>
                <w:color w:val="auto"/>
              </w:rPr>
            </w:pPr>
            <w:r>
              <w:rPr>
                <w:rFonts w:ascii="Arial" w:cs="Arial" w:eastAsia="Arial" w:hAnsi="Arial"/>
                <w:sz w:val="18"/>
                <w:szCs w:val="18"/>
                <w:color w:val="auto"/>
              </w:rPr>
              <w:t>38</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4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40" w:name="page41"/>
    <w:bookmarkEnd w:id="40"/>
    <w:p>
      <w:pPr>
        <w:ind w:right="100" w:firstLine="324"/>
        <w:spacing w:after="0" w:line="286" w:lineRule="auto"/>
        <w:rPr>
          <w:sz w:val="20"/>
          <w:szCs w:val="20"/>
          <w:color w:val="auto"/>
        </w:rPr>
      </w:pPr>
      <w:r>
        <w:rPr>
          <w:rFonts w:ascii="Arial" w:cs="Arial" w:eastAsia="Arial" w:hAnsi="Arial"/>
          <w:sz w:val="17"/>
          <w:szCs w:val="17"/>
          <w:color w:val="auto"/>
        </w:rPr>
        <w:t>As of September 30, 2016, amortization of accumulated losses on cash flow hedges from AOCL to Other income (expense), net is projected to be $0.3 million during the next twelve months. To the extent we sell the MSRs to which the accumulated losses on cash flow hedges applied, a proportionate amount of the remaining unamortized accumulated losses associated with the MSRs sold is recognized in earnings at that time.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the periods ended September 30:</w:t>
      </w:r>
    </w:p>
    <w:p>
      <w:pPr>
        <w:sectPr>
          <w:pgSz w:w="11900" w:h="16838" w:orient="portrait"/>
          <w:cols w:equalWidth="0" w:num="1">
            <w:col w:w="11420"/>
          </w:cols>
          <w:pgMar w:left="240" w:top="692" w:right="239" w:bottom="1440" w:gutter="0" w:footer="0" w:header="0"/>
        </w:sectPr>
      </w:pPr>
    </w:p>
    <w:p>
      <w:pPr>
        <w:spacing w:after="0" w:line="167" w:lineRule="exact"/>
        <w:rPr>
          <w:sz w:val="20"/>
          <w:szCs w:val="20"/>
          <w:color w:val="auto"/>
        </w:rPr>
      </w:pPr>
    </w:p>
    <w:p>
      <w:pPr>
        <w:jc w:val="center"/>
        <w:ind w:left="5240"/>
        <w:spacing w:after="0"/>
        <w:rPr>
          <w:sz w:val="20"/>
          <w:szCs w:val="20"/>
          <w:color w:val="auto"/>
        </w:rPr>
      </w:pPr>
      <w:r>
        <w:rPr>
          <w:rFonts w:ascii="Arial" w:cs="Arial" w:eastAsia="Arial" w:hAnsi="Arial"/>
          <w:sz w:val="18"/>
          <w:szCs w:val="18"/>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34290</wp:posOffset>
            </wp:positionV>
            <wp:extent cx="1972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732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34290</wp:posOffset>
            </wp:positionV>
            <wp:extent cx="1938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57"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57" w:lineRule="exact"/>
        <w:rPr>
          <w:sz w:val="20"/>
          <w:szCs w:val="20"/>
          <w:color w:val="auto"/>
        </w:rPr>
      </w:pPr>
    </w:p>
    <w:p>
      <w:pPr>
        <w:sectPr>
          <w:pgSz w:w="11900" w:h="16838" w:orient="portrait"/>
          <w:cols w:equalWidth="0" w:num="2">
            <w:col w:w="8200" w:space="720"/>
            <w:col w:w="2500"/>
          </w:cols>
          <w:pgMar w:left="240" w:top="692"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160" w:type="dxa"/>
            <w:vAlign w:val="bottom"/>
            <w:tcBorders>
              <w:top w:val="single" w:sz="8" w:color="EAF9E8"/>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Losses on economic hedges</w:t>
            </w:r>
          </w:p>
        </w:tc>
        <w:tc>
          <w:tcPr>
            <w:tcW w:w="580" w:type="dxa"/>
            <w:vAlign w:val="bottom"/>
            <w:tcBorders>
              <w:top w:val="single" w:sz="8" w:color="auto"/>
              <w:bottom w:val="single" w:sz="8" w:color="EAF9E8"/>
            </w:tcBorders>
            <w:shd w:val="clear" w:color="auto" w:fill="EAF9E8"/>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EAF9E8"/>
              <w:bottom w:val="single" w:sz="8" w:color="EAF9E8"/>
            </w:tcBorders>
            <w:shd w:val="clear" w:color="auto" w:fill="EAF9E8"/>
          </w:tcPr>
          <w:p>
            <w:pPr>
              <w:spacing w:after="0"/>
              <w:rPr>
                <w:sz w:val="22"/>
                <w:szCs w:val="22"/>
                <w:color w:val="auto"/>
              </w:rPr>
            </w:pPr>
          </w:p>
        </w:tc>
        <w:tc>
          <w:tcPr>
            <w:tcW w:w="520" w:type="dxa"/>
            <w:vAlign w:val="bottom"/>
            <w:tcBorders>
              <w:top w:val="single" w:sz="8" w:color="auto"/>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top w:val="single" w:sz="8" w:color="EAF9E8"/>
              <w:bottom w:val="single" w:sz="8" w:color="EAF9E8"/>
            </w:tcBorders>
            <w:shd w:val="clear" w:color="auto" w:fill="EAF9E8"/>
          </w:tcPr>
          <w:p>
            <w:pPr>
              <w:spacing w:after="0"/>
              <w:rPr>
                <w:sz w:val="22"/>
                <w:szCs w:val="22"/>
                <w:color w:val="auto"/>
              </w:rPr>
            </w:pPr>
          </w:p>
        </w:tc>
        <w:tc>
          <w:tcPr>
            <w:tcW w:w="520" w:type="dxa"/>
            <w:vAlign w:val="bottom"/>
            <w:tcBorders>
              <w:top w:val="single" w:sz="8" w:color="auto"/>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(1,950)</w:t>
            </w:r>
          </w:p>
        </w:tc>
        <w:tc>
          <w:tcPr>
            <w:tcW w:w="580" w:type="dxa"/>
            <w:vAlign w:val="bottom"/>
            <w:tcBorders>
              <w:top w:val="single" w:sz="8" w:color="auto"/>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w w:val="96"/>
              </w:rPr>
              <w:t>Write-off of losses in AOCL for a discontinued hedge relationship</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(6,916)</w:t>
            </w:r>
          </w:p>
        </w:tc>
      </w:tr>
      <w:tr>
        <w:trPr>
          <w:trHeight w:val="27"/>
        </w:trPr>
        <w:tc>
          <w:tcPr>
            <w:tcW w:w="5160" w:type="dxa"/>
            <w:vAlign w:val="bottom"/>
            <w:tcBorders>
              <w:bottom w:val="single" w:sz="8" w:color="EAF9E8"/>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EAF9E8"/>
            </w:tcBorders>
            <w:shd w:val="clear" w:color="auto" w:fill="EAF9E8"/>
          </w:tcPr>
          <w:p>
            <w:pPr>
              <w:spacing w:after="0"/>
              <w:rPr>
                <w:sz w:val="22"/>
                <w:szCs w:val="22"/>
                <w:color w:val="auto"/>
              </w:rPr>
            </w:pPr>
          </w:p>
        </w:tc>
        <w:tc>
          <w:tcPr>
            <w:tcW w:w="580" w:type="dxa"/>
            <w:vAlign w:val="bottom"/>
            <w:tcBorders>
              <w:bottom w:val="single" w:sz="8" w:color="EAF9E8"/>
            </w:tcBorders>
            <w:shd w:val="clear" w:color="auto" w:fill="EAF9E8"/>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(2,213)</w:t>
            </w:r>
          </w:p>
        </w:tc>
        <w:tc>
          <w:tcPr>
            <w:tcW w:w="58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(8,529)</w:t>
            </w:r>
          </w:p>
        </w:tc>
      </w:tr>
      <w:tr>
        <w:trPr>
          <w:trHeight w:val="20"/>
        </w:trPr>
        <w:tc>
          <w:tcPr>
            <w:tcW w:w="5160" w:type="dxa"/>
            <w:vAlign w:val="bottom"/>
            <w:tcBorders>
              <w:top w:val="single" w:sz="8" w:color="EAF9E8"/>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Interest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expense for the periods ended September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 (1) (2)</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73,096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73,866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193,675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222,067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17,349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53,656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45,379</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13,450</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38,877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68,447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6.625% Senior unsecured notes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6,130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19,521</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2,459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3,476</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7,192</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110,961</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118,313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308,083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362,606</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interest expense related to financing liabilities recorded in connection with the NRZ/HLSS Transactions as indicated in the table below.</w:t>
      </w:r>
    </w:p>
    <w:p>
      <w:pPr>
        <w:spacing w:after="0" w:line="177"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w:t>
            </w:r>
          </w:p>
        </w:tc>
        <w:tc>
          <w:tcPr>
            <w:tcW w:w="880" w:type="dxa"/>
            <w:vAlign w:val="bottom"/>
          </w:tcPr>
          <w:p>
            <w:pPr>
              <w:spacing w:after="0"/>
              <w:rPr>
                <w:sz w:val="18"/>
                <w:szCs w:val="18"/>
                <w:color w:val="auto"/>
              </w:rPr>
            </w:pPr>
          </w:p>
        </w:tc>
      </w:tr>
      <w:tr>
        <w:trPr>
          <w:trHeight w:val="33"/>
        </w:trPr>
        <w:tc>
          <w:tcPr>
            <w:tcW w:w="4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2015</w:t>
            </w:r>
          </w:p>
        </w:tc>
      </w:tr>
      <w:tr>
        <w:trPr>
          <w:trHeight w:val="33"/>
        </w:trPr>
        <w:tc>
          <w:tcPr>
            <w:tcW w:w="44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4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rPr>
              <w:t>Servicing fees collected on behalf of NRZ/HLSS</w:t>
            </w:r>
          </w:p>
        </w:tc>
        <w:tc>
          <w:tcPr>
            <w:tcW w:w="340" w:type="dxa"/>
            <w:vAlign w:val="bottom"/>
            <w:tcBorders>
              <w:bottom w:val="single" w:sz="8" w:color="EAF9E8"/>
            </w:tcBorders>
            <w:shd w:val="clear" w:color="auto" w:fill="EAF9E8"/>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159,919</w:t>
            </w:r>
          </w:p>
        </w:tc>
        <w:tc>
          <w:tcPr>
            <w:tcW w:w="120" w:type="dxa"/>
            <w:vAlign w:val="bottom"/>
            <w:tcBorders>
              <w:bottom w:val="single" w:sz="8" w:color="EAF9E8"/>
            </w:tcBorders>
            <w:shd w:val="clear" w:color="auto" w:fill="EAF9E8"/>
          </w:tcPr>
          <w:p>
            <w:pPr>
              <w:spacing w:after="0"/>
              <w:rPr>
                <w:sz w:val="20"/>
                <w:szCs w:val="20"/>
                <w:color w:val="auto"/>
              </w:rPr>
            </w:pPr>
          </w:p>
        </w:tc>
        <w:tc>
          <w:tcPr>
            <w:tcW w:w="480" w:type="dxa"/>
            <w:vAlign w:val="bottom"/>
            <w:tcBorders>
              <w:bottom w:val="single" w:sz="8" w:color="EAF9E8"/>
            </w:tcBorders>
            <w:shd w:val="clear" w:color="auto" w:fill="EAF9E8"/>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175,994</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482,566</w:t>
            </w:r>
          </w:p>
        </w:tc>
        <w:tc>
          <w:tcPr>
            <w:tcW w:w="120" w:type="dxa"/>
            <w:vAlign w:val="bottom"/>
            <w:tcBorders>
              <w:bottom w:val="single" w:sz="8" w:color="EAF9E8"/>
            </w:tcBorders>
            <w:shd w:val="clear" w:color="auto" w:fill="EAF9E8"/>
          </w:tcPr>
          <w:p>
            <w:pPr>
              <w:spacing w:after="0"/>
              <w:rPr>
                <w:sz w:val="20"/>
                <w:szCs w:val="20"/>
                <w:color w:val="auto"/>
              </w:rPr>
            </w:pPr>
          </w:p>
        </w:tc>
        <w:tc>
          <w:tcPr>
            <w:tcW w:w="460" w:type="dxa"/>
            <w:vAlign w:val="bottom"/>
            <w:tcBorders>
              <w:bottom w:val="single" w:sz="8" w:color="EAF9E8"/>
            </w:tcBorders>
            <w:shd w:val="clear" w:color="auto" w:fill="EAF9E8"/>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531,399</w:t>
            </w:r>
          </w:p>
        </w:tc>
      </w:tr>
      <w:tr>
        <w:trPr>
          <w:trHeight w:val="237"/>
        </w:trPr>
        <w:tc>
          <w:tcPr>
            <w:tcW w:w="4440" w:type="dxa"/>
            <w:vAlign w:val="bottom"/>
          </w:tcPr>
          <w:p>
            <w:pPr>
              <w:ind w:left="20"/>
              <w:spacing w:after="0"/>
              <w:rPr>
                <w:sz w:val="20"/>
                <w:szCs w:val="20"/>
                <w:color w:val="auto"/>
              </w:rPr>
            </w:pPr>
            <w:r>
              <w:rPr>
                <w:rFonts w:ascii="Arial" w:cs="Arial" w:eastAsia="Arial" w:hAnsi="Arial"/>
                <w:sz w:val="16"/>
                <w:szCs w:val="16"/>
                <w:color w:val="auto"/>
              </w:rPr>
              <w:t>Less: Subservicing fee retained by Ocwen</w:t>
            </w: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87,506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91,597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257,408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272,802</w:t>
            </w:r>
          </w:p>
        </w:tc>
      </w:tr>
      <w:tr>
        <w:trPr>
          <w:trHeight w:val="33"/>
        </w:trPr>
        <w:tc>
          <w:tcPr>
            <w:tcW w:w="44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4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Net servicing fees remitted to NRZ/HLSS</w:t>
            </w:r>
          </w:p>
        </w:tc>
        <w:tc>
          <w:tcPr>
            <w:tcW w:w="3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72,413</w:t>
            </w:r>
          </w:p>
        </w:tc>
        <w:tc>
          <w:tcPr>
            <w:tcW w:w="120" w:type="dxa"/>
            <w:vAlign w:val="bottom"/>
            <w:tcBorders>
              <w:bottom w:val="single" w:sz="8" w:color="EAF9E8"/>
            </w:tcBorders>
            <w:shd w:val="clear" w:color="auto" w:fill="EAF9E8"/>
          </w:tcPr>
          <w:p>
            <w:pPr>
              <w:spacing w:after="0"/>
              <w:rPr>
                <w:sz w:val="20"/>
                <w:szCs w:val="20"/>
                <w:color w:val="auto"/>
              </w:rPr>
            </w:pPr>
          </w:p>
        </w:tc>
        <w:tc>
          <w:tcPr>
            <w:tcW w:w="48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84,397</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225,158</w:t>
            </w:r>
          </w:p>
        </w:tc>
        <w:tc>
          <w:tcPr>
            <w:tcW w:w="120" w:type="dxa"/>
            <w:vAlign w:val="bottom"/>
            <w:tcBorders>
              <w:bottom w:val="single" w:sz="8" w:color="EAF9E8"/>
            </w:tcBorders>
            <w:shd w:val="clear" w:color="auto" w:fill="EAF9E8"/>
          </w:tcPr>
          <w:p>
            <w:pPr>
              <w:spacing w:after="0"/>
              <w:rPr>
                <w:sz w:val="20"/>
                <w:szCs w:val="20"/>
                <w:color w:val="auto"/>
              </w:rPr>
            </w:pPr>
          </w:p>
        </w:tc>
        <w:tc>
          <w:tcPr>
            <w:tcW w:w="46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258,597</w:t>
            </w:r>
          </w:p>
        </w:tc>
      </w:tr>
      <w:tr>
        <w:trPr>
          <w:trHeight w:val="237"/>
        </w:trPr>
        <w:tc>
          <w:tcPr>
            <w:tcW w:w="4440" w:type="dxa"/>
            <w:vAlign w:val="bottom"/>
          </w:tcPr>
          <w:p>
            <w:pPr>
              <w:ind w:left="20"/>
              <w:spacing w:after="0"/>
              <w:rPr>
                <w:sz w:val="20"/>
                <w:szCs w:val="20"/>
                <w:color w:val="auto"/>
              </w:rPr>
            </w:pPr>
            <w:r>
              <w:rPr>
                <w:rFonts w:ascii="Arial" w:cs="Arial" w:eastAsia="Arial" w:hAnsi="Arial"/>
                <w:sz w:val="16"/>
                <w:szCs w:val="16"/>
                <w:color w:val="auto"/>
              </w:rPr>
              <w:t>Less: Reduction (increase) in financing liability</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21,160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45,617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52,159</w:t>
            </w:r>
          </w:p>
        </w:tc>
      </w:tr>
      <w:tr>
        <w:trPr>
          <w:trHeight w:val="33"/>
        </w:trPr>
        <w:tc>
          <w:tcPr>
            <w:tcW w:w="44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Interest expense on NRZ/HLSS financing liability</w:t>
            </w:r>
          </w:p>
        </w:tc>
        <w:tc>
          <w:tcPr>
            <w:tcW w:w="340" w:type="dxa"/>
            <w:vAlign w:val="bottom"/>
            <w:tcBorders>
              <w:bottom w:val="single" w:sz="8" w:color="auto"/>
            </w:tcBorders>
            <w:shd w:val="clear" w:color="auto" w:fill="EAF9E8"/>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72,626</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auto"/>
            </w:tcBorders>
            <w:shd w:val="clear" w:color="auto" w:fill="EAF9E8"/>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63,237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auto"/>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179,541</w:t>
            </w:r>
          </w:p>
        </w:tc>
        <w:tc>
          <w:tcPr>
            <w:tcW w:w="12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auto"/>
            </w:tcBorders>
            <w:shd w:val="clear" w:color="auto" w:fill="EAF9E8"/>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206,438</w:t>
            </w:r>
          </w:p>
        </w:tc>
      </w:tr>
      <w:tr>
        <w:trPr>
          <w:trHeight w:val="20"/>
        </w:trPr>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500" w:right="360"/>
        <w:spacing w:after="0" w:line="275" w:lineRule="auto"/>
        <w:rPr>
          <w:sz w:val="20"/>
          <w:szCs w:val="20"/>
          <w:color w:val="auto"/>
        </w:rPr>
      </w:pPr>
      <w:r>
        <w:rPr>
          <w:rFonts w:ascii="Arial" w:cs="Arial" w:eastAsia="Arial" w:hAnsi="Arial"/>
          <w:sz w:val="16"/>
          <w:szCs w:val="16"/>
          <w:color w:val="auto"/>
        </w:rPr>
        <w:t>The reduction in the financing liability does not include reimbursements to NRZ/HLSS for the loss of servicing revenues when we were terminated as servicer and where the related Rights to MSRs had been sold to HLSS.</w:t>
      </w:r>
    </w:p>
    <w:p>
      <w:pPr>
        <w:spacing w:after="0" w:line="1" w:lineRule="exact"/>
        <w:rPr>
          <w:sz w:val="20"/>
          <w:szCs w:val="20"/>
          <w:color w:val="auto"/>
        </w:rPr>
      </w:pPr>
    </w:p>
    <w:p>
      <w:pPr>
        <w:ind w:left="500" w:right="60" w:hanging="492"/>
        <w:spacing w:after="0" w:line="284" w:lineRule="auto"/>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Includes $10.5 million of fees incurred during the nine months ended September 30, 2016 in connection with our agreement to compensate NRZ/HLSS through June 2016 for certain increased costs associated with its servicing advance financing facilities that were the direct result of a previous downgrade of our S&amp;P servicer rating. For the three and nine months ended September 30, 2015, we incurred $8.2 million and $8.5 million, respectively, of such fees.</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that we expect to be paid on the HMBS-related borrowings is included with net fair value gains in Other revenues.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Note 15 – Basic and Diluted Earnings per Share</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Basic earnings per share excludes common stock equivalents and is calculated by dividing net income attributable to Ocwen common stockholders by the weighted average number of common shares outstanding during the year. We calculate diluted earnings per share by dividing net income attributable to Ocwen by the weighted average number of common shares outstanding, including the potential dilutive common shares related to outstanding stock options and restricted stock awards. The following is a reconciliation of the calculation of basic earnings per share to diluted earnings per share for the periods ended September 30: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5"/>
          </w:tcPr>
          <w:p>
            <w:pPr>
              <w:ind w:left="700"/>
              <w:spacing w:after="0"/>
              <w:rPr>
                <w:sz w:val="20"/>
                <w:szCs w:val="20"/>
                <w:color w:val="auto"/>
              </w:rPr>
            </w:pPr>
            <w:r>
              <w:rPr>
                <w:rFonts w:ascii="Arial" w:cs="Arial" w:eastAsia="Arial" w:hAnsi="Arial"/>
                <w:sz w:val="18"/>
                <w:szCs w:val="18"/>
                <w:b w:val="1"/>
                <w:bCs w:val="1"/>
                <w:color w:val="auto"/>
              </w:rPr>
              <w:t>Three Months</w:t>
            </w:r>
          </w:p>
        </w:tc>
        <w:tc>
          <w:tcPr>
            <w:tcW w:w="28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10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40" w:type="dxa"/>
            <w:vAlign w:val="bottom"/>
            <w:tcBorders>
              <w:bottom w:val="single" w:sz="8" w:color="EAF9E8"/>
            </w:tcBorders>
          </w:tcPr>
          <w:p>
            <w:pPr>
              <w:spacing w:after="0"/>
              <w:rPr>
                <w:sz w:val="2"/>
                <w:szCs w:val="2"/>
                <w:color w:val="auto"/>
              </w:rPr>
            </w:pPr>
          </w:p>
        </w:tc>
        <w:tc>
          <w:tcPr>
            <w:tcW w:w="1800" w:type="dxa"/>
            <w:vAlign w:val="bottom"/>
            <w:tcBorders>
              <w:bottom w:val="single" w:sz="8" w:color="EAF9E8"/>
            </w:tcBorders>
          </w:tcPr>
          <w:p>
            <w:pPr>
              <w:spacing w:after="0"/>
              <w:rPr>
                <w:sz w:val="2"/>
                <w:szCs w:val="2"/>
                <w:color w:val="auto"/>
              </w:rPr>
            </w:pPr>
          </w:p>
        </w:tc>
        <w:tc>
          <w:tcPr>
            <w:tcW w:w="8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5120" w:type="dxa"/>
            <w:vAlign w:val="bottom"/>
            <w:gridSpan w:val="4"/>
            <w:shd w:val="clear" w:color="auto" w:fill="EAF9E8"/>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1800" w:type="dxa"/>
            <w:vAlign w:val="bottom"/>
            <w:tcBorders>
              <w:top w:val="single" w:sz="8" w:color="auto"/>
            </w:tcBorders>
            <w:shd w:val="clear" w:color="auto" w:fill="EAF9E8"/>
          </w:tcPr>
          <w:p>
            <w:pPr>
              <w:spacing w:after="0"/>
              <w:rPr>
                <w:sz w:val="4"/>
                <w:szCs w:val="4"/>
                <w:color w:val="auto"/>
              </w:rPr>
            </w:pPr>
          </w:p>
        </w:tc>
        <w:tc>
          <w:tcPr>
            <w:tcW w:w="840" w:type="dxa"/>
            <w:vAlign w:val="bottom"/>
            <w:tcBorders>
              <w:top w:val="single" w:sz="8" w:color="EAF9E8"/>
            </w:tcBorders>
            <w:shd w:val="clear" w:color="auto" w:fill="EAF9E8"/>
          </w:tcPr>
          <w:p>
            <w:pPr>
              <w:spacing w:after="0"/>
              <w:rPr>
                <w:sz w:val="4"/>
                <w:szCs w:val="4"/>
                <w:color w:val="auto"/>
              </w:rPr>
            </w:pPr>
          </w:p>
        </w:tc>
        <w:tc>
          <w:tcPr>
            <w:tcW w:w="2440" w:type="dxa"/>
            <w:vAlign w:val="bottom"/>
            <w:tcBorders>
              <w:top w:val="single" w:sz="8" w:color="EAF9E8"/>
            </w:tcBorders>
            <w:shd w:val="clear" w:color="auto" w:fill="EAF9E8"/>
          </w:tcPr>
          <w:p>
            <w:pPr>
              <w:spacing w:after="0"/>
              <w:rPr>
                <w:sz w:val="4"/>
                <w:szCs w:val="4"/>
                <w:color w:val="auto"/>
              </w:rPr>
            </w:pPr>
          </w:p>
        </w:tc>
        <w:tc>
          <w:tcPr>
            <w:tcW w:w="28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28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28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460" w:type="dxa"/>
            <w:vAlign w:val="bottom"/>
            <w:tcBorders>
              <w:top w:val="single" w:sz="8" w:color="EAF9E8"/>
            </w:tcBorders>
            <w:shd w:val="clear" w:color="auto" w:fill="EAF9E8"/>
          </w:tcPr>
          <w:p>
            <w:pPr>
              <w:spacing w:after="0"/>
              <w:rPr>
                <w:sz w:val="4"/>
                <w:szCs w:val="4"/>
                <w:color w:val="auto"/>
              </w:rPr>
            </w:pPr>
          </w:p>
        </w:tc>
        <w:tc>
          <w:tcPr>
            <w:tcW w:w="1000" w:type="dxa"/>
            <w:vAlign w:val="bottom"/>
            <w:tcBorders>
              <w:top w:val="single" w:sz="8" w:color="EAF9E8"/>
            </w:tcBorders>
            <w:shd w:val="clear" w:color="auto" w:fill="EAF9E8"/>
          </w:tcPr>
          <w:p>
            <w:pPr>
              <w:spacing w:after="0"/>
              <w:rPr>
                <w:sz w:val="4"/>
                <w:szCs w:val="4"/>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508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w w:val="99"/>
              </w:rPr>
              <w:t>Net income (loss) attributable to Ocwen common stockholders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9,391</w:t>
            </w: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(66,869)</w:t>
            </w: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(189,318)</w:t>
            </w:r>
          </w:p>
        </w:tc>
        <w:tc>
          <w:tcPr>
            <w:tcW w:w="120" w:type="dxa"/>
            <w:vAlign w:val="bottom"/>
            <w:tcBorders>
              <w:bottom w:val="single" w:sz="8" w:color="EAF9E8"/>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(22,776)</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840" w:type="dxa"/>
            <w:vAlign w:val="bottom"/>
            <w:shd w:val="clear" w:color="auto" w:fill="EAF9E8"/>
          </w:tcPr>
          <w:p>
            <w:pPr>
              <w:spacing w:after="0"/>
              <w:rPr>
                <w:sz w:val="24"/>
                <w:szCs w:val="24"/>
                <w:color w:val="auto"/>
              </w:rPr>
            </w:pPr>
          </w:p>
        </w:tc>
        <w:tc>
          <w:tcPr>
            <w:tcW w:w="244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508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Weighted average shares of common stock</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123,986,987</w:t>
            </w: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125,383,639</w:t>
            </w: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123,991,343</w:t>
            </w:r>
          </w:p>
        </w:tc>
        <w:tc>
          <w:tcPr>
            <w:tcW w:w="120" w:type="dxa"/>
            <w:vAlign w:val="bottom"/>
            <w:tcBorders>
              <w:bottom w:val="single" w:sz="8" w:color="EAF9E8"/>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125,322,742</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840" w:type="dxa"/>
            <w:vAlign w:val="bottom"/>
            <w:shd w:val="clear" w:color="auto" w:fill="EAF9E8"/>
          </w:tcPr>
          <w:p>
            <w:pPr>
              <w:spacing w:after="0"/>
              <w:rPr>
                <w:sz w:val="24"/>
                <w:szCs w:val="24"/>
                <w:color w:val="auto"/>
              </w:rPr>
            </w:pPr>
          </w:p>
        </w:tc>
        <w:tc>
          <w:tcPr>
            <w:tcW w:w="244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508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Basic earnings (loss)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EAF9E8"/>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840" w:type="dxa"/>
            <w:vAlign w:val="bottom"/>
            <w:shd w:val="clear" w:color="auto" w:fill="EAF9E8"/>
          </w:tcPr>
          <w:p>
            <w:pPr>
              <w:spacing w:after="0"/>
              <w:rPr>
                <w:sz w:val="24"/>
                <w:szCs w:val="24"/>
                <w:color w:val="auto"/>
              </w:rPr>
            </w:pPr>
          </w:p>
        </w:tc>
        <w:tc>
          <w:tcPr>
            <w:tcW w:w="244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r>
      <w:tr>
        <w:trPr>
          <w:trHeight w:val="203"/>
        </w:trPr>
        <w:tc>
          <w:tcPr>
            <w:tcW w:w="51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Diluted earnings (loss) per share (1):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508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w w:val="99"/>
              </w:rPr>
              <w:t>Net income (loss) attributable to Ocwen common stockholders</w:t>
            </w: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9,391</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(66,869)</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(189,318)</w:t>
            </w:r>
          </w:p>
        </w:tc>
        <w:tc>
          <w:tcPr>
            <w:tcW w:w="12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(22,776)</w:t>
            </w: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08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Weighted average shares of common stock</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123,986,987</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125,383,639</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123,991,343</w:t>
            </w:r>
          </w:p>
        </w:tc>
        <w:tc>
          <w:tcPr>
            <w:tcW w:w="12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7"/>
              </w:rPr>
              <w:t>125,322,742</w:t>
            </w:r>
          </w:p>
        </w:tc>
      </w:tr>
      <w:tr>
        <w:trPr>
          <w:trHeight w:val="243"/>
        </w:trPr>
        <w:tc>
          <w:tcPr>
            <w:tcW w:w="40" w:type="dxa"/>
            <w:vAlign w:val="bottom"/>
          </w:tcPr>
          <w:p>
            <w:pPr>
              <w:spacing w:after="0"/>
              <w:rPr>
                <w:sz w:val="21"/>
                <w:szCs w:val="21"/>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Effect of dilutive elements (1):</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08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Stock option awards</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080" w:type="dxa"/>
            <w:vAlign w:val="bottom"/>
            <w:gridSpan w:val="3"/>
          </w:tcPr>
          <w:p>
            <w:pPr>
              <w:ind w:left="240"/>
              <w:spacing w:after="0"/>
              <w:rPr>
                <w:sz w:val="20"/>
                <w:szCs w:val="20"/>
                <w:color w:val="auto"/>
              </w:rPr>
            </w:pPr>
            <w:r>
              <w:rPr>
                <w:rFonts w:ascii="Arial" w:cs="Arial" w:eastAsia="Arial" w:hAnsi="Arial"/>
                <w:sz w:val="18"/>
                <w:szCs w:val="18"/>
                <w:color w:val="auto"/>
              </w:rPr>
              <w:t>Common stock awards</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147,520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1800" w:type="dxa"/>
            <w:vAlign w:val="bottom"/>
            <w:tcBorders>
              <w:bottom w:val="single" w:sz="8" w:color="EAF9E8"/>
            </w:tcBorders>
          </w:tcPr>
          <w:p>
            <w:pPr>
              <w:spacing w:after="0"/>
              <w:rPr>
                <w:sz w:val="2"/>
                <w:szCs w:val="2"/>
                <w:color w:val="auto"/>
              </w:rPr>
            </w:pPr>
          </w:p>
        </w:tc>
        <w:tc>
          <w:tcPr>
            <w:tcW w:w="8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508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Dilutive weighted average shares of common stock</w:t>
            </w:r>
          </w:p>
        </w:tc>
        <w:tc>
          <w:tcPr>
            <w:tcW w:w="28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124,134,507</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125,383,639</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123,991,343</w:t>
            </w:r>
          </w:p>
        </w:tc>
        <w:tc>
          <w:tcPr>
            <w:tcW w:w="12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spacing w:after="0"/>
              <w:rPr>
                <w:sz w:val="22"/>
                <w:szCs w:val="22"/>
                <w:color w:val="auto"/>
              </w:rPr>
            </w:pPr>
          </w:p>
        </w:tc>
        <w:tc>
          <w:tcPr>
            <w:tcW w:w="10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87"/>
              </w:rPr>
              <w:t>125,322,742</w:t>
            </w: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508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(0.18)</w:t>
            </w: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9"/>
        </w:trPr>
        <w:tc>
          <w:tcPr>
            <w:tcW w:w="5120" w:type="dxa"/>
            <w:vAlign w:val="bottom"/>
            <w:gridSpan w:val="4"/>
            <w:shd w:val="clear" w:color="auto" w:fill="EAF9E8"/>
          </w:tcPr>
          <w:p>
            <w:pPr>
              <w:ind w:left="40"/>
              <w:spacing w:after="0"/>
              <w:rPr>
                <w:sz w:val="20"/>
                <w:szCs w:val="20"/>
                <w:color w:val="auto"/>
              </w:rPr>
            </w:pPr>
            <w:r>
              <w:rPr>
                <w:rFonts w:ascii="Arial" w:cs="Arial" w:eastAsia="Arial" w:hAnsi="Arial"/>
                <w:sz w:val="18"/>
                <w:szCs w:val="18"/>
                <w:color w:val="auto"/>
              </w:rPr>
              <w:t>Stock options and common stock awards excluded from the</w:t>
            </w:r>
          </w:p>
        </w:tc>
        <w:tc>
          <w:tcPr>
            <w:tcW w:w="2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5080" w:type="dxa"/>
            <w:vAlign w:val="bottom"/>
            <w:tcBorders>
              <w:bottom w:val="single" w:sz="8" w:color="EAF9E8"/>
            </w:tcBorders>
            <w:gridSpan w:val="3"/>
            <w:shd w:val="clear" w:color="auto" w:fill="EAF9E8"/>
          </w:tcPr>
          <w:p>
            <w:pPr>
              <w:ind w:left="160"/>
              <w:spacing w:after="0"/>
              <w:rPr>
                <w:sz w:val="20"/>
                <w:szCs w:val="20"/>
                <w:color w:val="auto"/>
              </w:rPr>
            </w:pPr>
            <w:r>
              <w:rPr>
                <w:rFonts w:ascii="Arial" w:cs="Arial" w:eastAsia="Arial" w:hAnsi="Arial"/>
                <w:sz w:val="18"/>
                <w:szCs w:val="18"/>
                <w:color w:val="auto"/>
              </w:rPr>
              <w:t>computation of diluted earnings per share:</w:t>
            </w:r>
          </w:p>
        </w:tc>
        <w:tc>
          <w:tcPr>
            <w:tcW w:w="2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46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Anti-dilutive (2)</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6,890,882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2,037,872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7,285,539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1,965,049</w:t>
            </w: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40" w:type="dxa"/>
            <w:vAlign w:val="bottom"/>
            <w:shd w:val="clear" w:color="auto" w:fill="EAF9E8"/>
          </w:tcPr>
          <w:p>
            <w:pPr>
              <w:spacing w:after="0"/>
              <w:rPr>
                <w:sz w:val="21"/>
                <w:szCs w:val="21"/>
                <w:color w:val="auto"/>
              </w:rPr>
            </w:pPr>
          </w:p>
        </w:tc>
        <w:tc>
          <w:tcPr>
            <w:tcW w:w="508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Market-based (3)</w:t>
            </w:r>
          </w:p>
        </w:tc>
        <w:tc>
          <w:tcPr>
            <w:tcW w:w="28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1,917,456</w:t>
            </w: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924,438</w:t>
            </w: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1,917,456</w:t>
            </w:r>
          </w:p>
        </w:tc>
        <w:tc>
          <w:tcPr>
            <w:tcW w:w="12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0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924,438</w:t>
            </w:r>
          </w:p>
        </w:tc>
      </w:tr>
      <w:tr>
        <w:trPr>
          <w:trHeight w:val="27"/>
        </w:trPr>
        <w:tc>
          <w:tcPr>
            <w:tcW w:w="40" w:type="dxa"/>
            <w:vAlign w:val="bottom"/>
            <w:shd w:val="clear" w:color="auto" w:fill="EAF9E8"/>
          </w:tcPr>
          <w:p>
            <w:pPr>
              <w:spacing w:after="0"/>
              <w:rPr>
                <w:sz w:val="2"/>
                <w:szCs w:val="2"/>
                <w:color w:val="auto"/>
              </w:rPr>
            </w:pPr>
          </w:p>
        </w:tc>
        <w:tc>
          <w:tcPr>
            <w:tcW w:w="1800" w:type="dxa"/>
            <w:vAlign w:val="bottom"/>
            <w:shd w:val="clear" w:color="auto" w:fill="EAF9E8"/>
          </w:tcPr>
          <w:p>
            <w:pPr>
              <w:spacing w:after="0"/>
              <w:rPr>
                <w:sz w:val="2"/>
                <w:szCs w:val="2"/>
                <w:color w:val="auto"/>
              </w:rPr>
            </w:pPr>
          </w:p>
        </w:tc>
        <w:tc>
          <w:tcPr>
            <w:tcW w:w="840" w:type="dxa"/>
            <w:vAlign w:val="bottom"/>
            <w:shd w:val="clear" w:color="auto" w:fill="EAF9E8"/>
          </w:tcPr>
          <w:p>
            <w:pPr>
              <w:spacing w:after="0"/>
              <w:rPr>
                <w:sz w:val="2"/>
                <w:szCs w:val="2"/>
                <w:color w:val="auto"/>
              </w:rPr>
            </w:pPr>
          </w:p>
        </w:tc>
        <w:tc>
          <w:tcPr>
            <w:tcW w:w="244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60" w:type="dxa"/>
            <w:vAlign w:val="bottom"/>
            <w:shd w:val="clear" w:color="auto" w:fill="EAF9E8"/>
          </w:tcPr>
          <w:p>
            <w:pPr>
              <w:spacing w:after="0"/>
              <w:rPr>
                <w:sz w:val="2"/>
                <w:szCs w:val="2"/>
                <w:color w:val="auto"/>
              </w:rPr>
            </w:pPr>
          </w:p>
        </w:tc>
        <w:tc>
          <w:tcPr>
            <w:tcW w:w="1000" w:type="dxa"/>
            <w:vAlign w:val="bottom"/>
            <w:shd w:val="clear" w:color="auto" w:fill="EAF9E8"/>
          </w:tcPr>
          <w:p>
            <w:pPr>
              <w:spacing w:after="0"/>
              <w:rPr>
                <w:sz w:val="2"/>
                <w:szCs w:val="2"/>
                <w:color w:val="auto"/>
              </w:rPr>
            </w:pPr>
          </w:p>
        </w:tc>
      </w:tr>
    </w:tbl>
    <w:p>
      <w:pPr>
        <w:spacing w:after="0" w:line="314" w:lineRule="exact"/>
        <w:rPr>
          <w:sz w:val="20"/>
          <w:szCs w:val="20"/>
          <w:color w:val="auto"/>
        </w:rPr>
      </w:pPr>
    </w:p>
    <w:p>
      <w:pPr>
        <w:ind w:left="500" w:hanging="492"/>
        <w:spacing w:after="0" w:line="255"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the nine months ended September 30, 2016 and for the three and nine months ended September 30, 2015, we have excluded the effect of stock options and common stock awards from the computation of diluted earnings per share because of the anti-dilutive effect of our reported net loss.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stock options were anti-dilutive because their exercise price was greater than the average market price of Ocwen’s stock.</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Business Segment Reporting</w:t>
      </w:r>
    </w:p>
    <w:p>
      <w:pPr>
        <w:spacing w:after="0" w:line="12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The Lending segment is focused on originating and purchasing conventional and government-insured residential forward and reverse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mainly through our correspondent lending arrangements, broker relationships and directly</w:t>
      </w:r>
    </w:p>
    <w:p>
      <w:pPr>
        <w:sectPr>
          <w:pgSz w:w="11900" w:h="16838" w:orient="portrait"/>
          <w:cols w:equalWidth="0" w:num="1">
            <w:col w:w="11400"/>
          </w:cols>
          <w:pgMar w:left="240" w:top="796"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796" w:right="2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color w:val="auto"/>
        </w:rPr>
        <w:t>with mortgage customers. The loans are typically sold shortly after origination into a liquid market on a servicing retained basis.</w:t>
      </w:r>
    </w:p>
    <w:p>
      <w:pPr>
        <w:spacing w:after="0" w:line="11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Corporate Items and Other includes revenues and expenses that are not directly related to other reportable segments,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that are individually insignificant, interest income on short-term investments of cash, interest expense on corporate debt and certain corporate expenses. New business activities that are currently insignificant include providing short-term inventory-secured floor plan loans to independent used car dealerships through our ACS venture. In addition, Ocwen recently formed a wholly-owned captive reinsurance entity, CR Limited (CRL) and signed a quota share re-insurance agreement with a third-party insurer related to coverage on foreclosed real estate properties owned or serviced by Ocwen.</w:t>
      </w:r>
    </w:p>
    <w:p>
      <w:pPr>
        <w:spacing w:after="0" w:line="5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31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w w:val="99"/>
              </w:rPr>
              <w:t>Three months ended September 30, 2016</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319,080</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30,696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9,672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359,448</w:t>
            </w:r>
          </w:p>
        </w:tc>
      </w:tr>
      <w:tr>
        <w:trPr>
          <w:trHeight w:val="29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 (1) (2)</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204,434</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27,735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39,509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271,678</w:t>
            </w:r>
          </w:p>
        </w:tc>
      </w:tr>
      <w:tr>
        <w:trPr>
          <w:trHeight w:val="29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5,158</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(101,138)</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(3,684)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(6,139)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(110,961)</w:t>
            </w:r>
          </w:p>
        </w:tc>
      </w:tr>
      <w:tr>
        <w:trPr>
          <w:trHeight w:val="229"/>
        </w:trPr>
        <w:tc>
          <w:tcPr>
            <w:tcW w:w="40" w:type="dxa"/>
            <w:vAlign w:val="bottom"/>
          </w:tcPr>
          <w:p>
            <w:pPr>
              <w:spacing w:after="0"/>
              <w:rPr>
                <w:sz w:val="19"/>
                <w:szCs w:val="19"/>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w w:val="97"/>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5,661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5,661</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13,943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14,736</w:t>
            </w:r>
          </w:p>
        </w:tc>
      </w:tr>
      <w:tr>
        <w:trPr>
          <w:trHeight w:val="237"/>
        </w:trPr>
        <w:tc>
          <w:tcPr>
            <w:tcW w:w="40" w:type="dxa"/>
            <w:vAlign w:val="bottom"/>
          </w:tcPr>
          <w:p>
            <w:pPr>
              <w:spacing w:after="0"/>
              <w:rPr>
                <w:sz w:val="20"/>
                <w:szCs w:val="20"/>
                <w:color w:val="auto"/>
              </w:rPr>
            </w:pPr>
          </w:p>
        </w:tc>
        <w:tc>
          <w:tcPr>
            <w:tcW w:w="350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(81,475)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(85,406)</w:t>
            </w:r>
          </w:p>
        </w:tc>
      </w:tr>
      <w:tr>
        <w:trPr>
          <w:trHeight w:val="27"/>
        </w:trPr>
        <w:tc>
          <w:tcPr>
            <w:tcW w:w="40" w:type="dxa"/>
            <w:vAlign w:val="bottom"/>
            <w:tcBorders>
              <w:bottom w:val="single" w:sz="8" w:color="EAF9E8"/>
            </w:tcBorders>
          </w:tcPr>
          <w:p>
            <w:pPr>
              <w:spacing w:after="0"/>
              <w:rPr>
                <w:sz w:val="2"/>
                <w:szCs w:val="2"/>
                <w:color w:val="auto"/>
              </w:rPr>
            </w:pPr>
          </w:p>
        </w:tc>
        <w:tc>
          <w:tcPr>
            <w:tcW w:w="31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3120" w:type="dxa"/>
            <w:vAlign w:val="bottom"/>
            <w:shd w:val="clear" w:color="auto" w:fill="EAF9E8"/>
          </w:tcPr>
          <w:p>
            <w:pPr>
              <w:spacing w:after="0"/>
              <w:rPr>
                <w:sz w:val="15"/>
                <w:szCs w:val="15"/>
                <w:color w:val="auto"/>
              </w:rPr>
            </w:pPr>
          </w:p>
        </w:tc>
        <w:tc>
          <w:tcPr>
            <w:tcW w:w="38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304"/>
        </w:trPr>
        <w:tc>
          <w:tcPr>
            <w:tcW w:w="40" w:type="dxa"/>
            <w:vAlign w:val="bottom"/>
          </w:tcPr>
          <w:p>
            <w:pPr>
              <w:spacing w:after="0"/>
              <w:rPr>
                <w:sz w:val="24"/>
                <w:szCs w:val="24"/>
                <w:color w:val="auto"/>
              </w:rPr>
            </w:pPr>
          </w:p>
        </w:tc>
        <w:tc>
          <w:tcPr>
            <w:tcW w:w="350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33,171</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(34,396)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2,364</w:t>
            </w:r>
          </w:p>
        </w:tc>
      </w:tr>
      <w:tr>
        <w:trPr>
          <w:trHeight w:val="163"/>
        </w:trPr>
        <w:tc>
          <w:tcPr>
            <w:tcW w:w="40" w:type="dxa"/>
            <w:vAlign w:val="bottom"/>
            <w:tcBorders>
              <w:top w:val="single" w:sz="8" w:color="EAF9E8"/>
            </w:tcBorders>
            <w:shd w:val="clear" w:color="auto" w:fill="EAF9E8"/>
          </w:tcPr>
          <w:p>
            <w:pPr>
              <w:spacing w:after="0"/>
              <w:rPr>
                <w:sz w:val="14"/>
                <w:szCs w:val="14"/>
                <w:color w:val="auto"/>
              </w:rPr>
            </w:pPr>
          </w:p>
        </w:tc>
        <w:tc>
          <w:tcPr>
            <w:tcW w:w="3120" w:type="dxa"/>
            <w:vAlign w:val="bottom"/>
            <w:tcBorders>
              <w:top w:val="single" w:sz="8" w:color="EAF9E8"/>
            </w:tcBorders>
            <w:shd w:val="clear" w:color="auto" w:fill="EAF9E8"/>
          </w:tcPr>
          <w:p>
            <w:pPr>
              <w:spacing w:after="0"/>
              <w:rPr>
                <w:sz w:val="14"/>
                <w:szCs w:val="14"/>
                <w:color w:val="auto"/>
              </w:rPr>
            </w:pPr>
          </w:p>
        </w:tc>
        <w:tc>
          <w:tcPr>
            <w:tcW w:w="380" w:type="dxa"/>
            <w:vAlign w:val="bottom"/>
            <w:tcBorders>
              <w:top w:val="single" w:sz="8" w:color="EAF9E8"/>
            </w:tcBorders>
            <w:shd w:val="clear" w:color="auto" w:fill="EAF9E8"/>
          </w:tcPr>
          <w:p>
            <w:pPr>
              <w:spacing w:after="0"/>
              <w:rPr>
                <w:sz w:val="14"/>
                <w:szCs w:val="14"/>
                <w:color w:val="auto"/>
              </w:rPr>
            </w:pPr>
          </w:p>
        </w:tc>
        <w:tc>
          <w:tcPr>
            <w:tcW w:w="26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tcBorders>
              <w:top w:val="single" w:sz="8" w:color="EAF9E8"/>
            </w:tcBorders>
            <w:shd w:val="clear" w:color="auto" w:fill="EAF9E8"/>
          </w:tcPr>
          <w:p>
            <w:pPr>
              <w:spacing w:after="0"/>
              <w:rPr>
                <w:sz w:val="14"/>
                <w:szCs w:val="14"/>
                <w:color w:val="auto"/>
              </w:rPr>
            </w:pPr>
          </w:p>
        </w:tc>
        <w:tc>
          <w:tcPr>
            <w:tcW w:w="28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2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w w:val="99"/>
              </w:rPr>
              <w:t>Three months ended September 30, 2015</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374,936</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29,662</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404,946</w:t>
            </w:r>
          </w:p>
        </w:tc>
      </w:tr>
      <w:tr>
        <w:trPr>
          <w:trHeight w:val="29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 (1) (2)</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318,439</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23,126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46,161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387,726</w:t>
            </w:r>
          </w:p>
        </w:tc>
      </w:tr>
      <w:tr>
        <w:trPr>
          <w:trHeight w:val="264"/>
        </w:trPr>
        <w:tc>
          <w:tcPr>
            <w:tcW w:w="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5,693</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(109,357)</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(118,313)</w:t>
            </w:r>
          </w:p>
        </w:tc>
      </w:tr>
      <w:tr>
        <w:trPr>
          <w:trHeight w:val="229"/>
        </w:trPr>
        <w:tc>
          <w:tcPr>
            <w:tcW w:w="40" w:type="dxa"/>
            <w:vAlign w:val="bottom"/>
          </w:tcPr>
          <w:p>
            <w:pPr>
              <w:spacing w:after="0"/>
              <w:rPr>
                <w:sz w:val="19"/>
                <w:szCs w:val="19"/>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w w:val="97"/>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41,246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41,246</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(2,303)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(1,764)</w:t>
            </w:r>
          </w:p>
        </w:tc>
      </w:tr>
      <w:tr>
        <w:trPr>
          <w:trHeight w:val="237"/>
        </w:trPr>
        <w:tc>
          <w:tcPr>
            <w:tcW w:w="40" w:type="dxa"/>
            <w:vAlign w:val="bottom"/>
          </w:tcPr>
          <w:p>
            <w:pPr>
              <w:spacing w:after="0"/>
              <w:rPr>
                <w:sz w:val="20"/>
                <w:szCs w:val="20"/>
                <w:color w:val="auto"/>
              </w:rPr>
            </w:pPr>
          </w:p>
        </w:tc>
        <w:tc>
          <w:tcPr>
            <w:tcW w:w="350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(69,239)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(73,138)</w:t>
            </w:r>
          </w:p>
        </w:tc>
      </w:tr>
      <w:tr>
        <w:trPr>
          <w:trHeight w:val="27"/>
        </w:trPr>
        <w:tc>
          <w:tcPr>
            <w:tcW w:w="40" w:type="dxa"/>
            <w:vAlign w:val="bottom"/>
            <w:tcBorders>
              <w:bottom w:val="single" w:sz="8" w:color="EAF9E8"/>
            </w:tcBorders>
          </w:tcPr>
          <w:p>
            <w:pPr>
              <w:spacing w:after="0"/>
              <w:rPr>
                <w:sz w:val="2"/>
                <w:szCs w:val="2"/>
                <w:color w:val="auto"/>
              </w:rPr>
            </w:pPr>
          </w:p>
        </w:tc>
        <w:tc>
          <w:tcPr>
            <w:tcW w:w="31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3120" w:type="dxa"/>
            <w:vAlign w:val="bottom"/>
            <w:shd w:val="clear" w:color="auto" w:fill="EAF9E8"/>
          </w:tcPr>
          <w:p>
            <w:pPr>
              <w:spacing w:after="0"/>
              <w:rPr>
                <w:sz w:val="15"/>
                <w:szCs w:val="15"/>
                <w:color w:val="auto"/>
              </w:rPr>
            </w:pPr>
          </w:p>
        </w:tc>
        <w:tc>
          <w:tcPr>
            <w:tcW w:w="38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304"/>
        </w:trPr>
        <w:tc>
          <w:tcPr>
            <w:tcW w:w="40" w:type="dxa"/>
            <w:vAlign w:val="bottom"/>
          </w:tcPr>
          <w:p>
            <w:pPr>
              <w:spacing w:after="0"/>
              <w:rPr>
                <w:sz w:val="24"/>
                <w:szCs w:val="24"/>
                <w:color w:val="auto"/>
              </w:rPr>
            </w:pPr>
          </w:p>
        </w:tc>
        <w:tc>
          <w:tcPr>
            <w:tcW w:w="350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(12,742)</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8,588</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(51,764)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(55,918)</w:t>
            </w:r>
          </w:p>
        </w:tc>
      </w:tr>
      <w:tr>
        <w:trPr>
          <w:trHeight w:val="163"/>
        </w:trPr>
        <w:tc>
          <w:tcPr>
            <w:tcW w:w="40" w:type="dxa"/>
            <w:vAlign w:val="bottom"/>
            <w:tcBorders>
              <w:top w:val="single" w:sz="8" w:color="EAF9E8"/>
            </w:tcBorders>
            <w:shd w:val="clear" w:color="auto" w:fill="EAF9E8"/>
          </w:tcPr>
          <w:p>
            <w:pPr>
              <w:spacing w:after="0"/>
              <w:rPr>
                <w:sz w:val="14"/>
                <w:szCs w:val="14"/>
                <w:color w:val="auto"/>
              </w:rPr>
            </w:pPr>
          </w:p>
        </w:tc>
        <w:tc>
          <w:tcPr>
            <w:tcW w:w="3120" w:type="dxa"/>
            <w:vAlign w:val="bottom"/>
            <w:tcBorders>
              <w:top w:val="single" w:sz="8" w:color="EAF9E8"/>
            </w:tcBorders>
            <w:shd w:val="clear" w:color="auto" w:fill="EAF9E8"/>
          </w:tcPr>
          <w:p>
            <w:pPr>
              <w:spacing w:after="0"/>
              <w:rPr>
                <w:sz w:val="14"/>
                <w:szCs w:val="14"/>
                <w:color w:val="auto"/>
              </w:rPr>
            </w:pPr>
          </w:p>
        </w:tc>
        <w:tc>
          <w:tcPr>
            <w:tcW w:w="380" w:type="dxa"/>
            <w:vAlign w:val="bottom"/>
            <w:tcBorders>
              <w:top w:val="single" w:sz="8" w:color="EAF9E8"/>
            </w:tcBorders>
            <w:shd w:val="clear" w:color="auto" w:fill="EAF9E8"/>
          </w:tcPr>
          <w:p>
            <w:pPr>
              <w:spacing w:after="0"/>
              <w:rPr>
                <w:sz w:val="14"/>
                <w:szCs w:val="14"/>
                <w:color w:val="auto"/>
              </w:rPr>
            </w:pPr>
          </w:p>
        </w:tc>
        <w:tc>
          <w:tcPr>
            <w:tcW w:w="26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tcBorders>
              <w:top w:val="single" w:sz="8" w:color="EAF9E8"/>
            </w:tcBorders>
            <w:shd w:val="clear" w:color="auto" w:fill="EAF9E8"/>
          </w:tcPr>
          <w:p>
            <w:pPr>
              <w:spacing w:after="0"/>
              <w:rPr>
                <w:sz w:val="14"/>
                <w:szCs w:val="14"/>
                <w:color w:val="auto"/>
              </w:rPr>
            </w:pPr>
          </w:p>
        </w:tc>
        <w:tc>
          <w:tcPr>
            <w:tcW w:w="28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2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r>
      <w:tr>
        <w:trPr>
          <w:trHeight w:val="459"/>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Nine months ended September 30, 2016</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5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02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951,727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89,255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22,277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1,063,259</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Expenses (1) (2)</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741,706</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78,091</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165,556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985,353</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(278,808)</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(10,829)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(18,446)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(308,083)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w w:val="90"/>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500" w:type="dxa"/>
            <w:vAlign w:val="bottom"/>
            <w:gridSpan w:val="2"/>
          </w:tcPr>
          <w:p>
            <w:pPr>
              <w:ind w:left="62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7,689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Other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11,406</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11,841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gridSpan w:val="2"/>
          </w:tcPr>
          <w:p>
            <w:pPr>
              <w:ind w:left="6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(259,815)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(274,065)</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4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EAF9E8"/>
          </w:tcPr>
          <w:p>
            <w:pPr>
              <w:spacing w:after="0"/>
              <w:rPr>
                <w:sz w:val="15"/>
                <w:szCs w:val="15"/>
                <w:color w:val="auto"/>
              </w:rPr>
            </w:pPr>
          </w:p>
        </w:tc>
        <w:tc>
          <w:tcPr>
            <w:tcW w:w="3020" w:type="dxa"/>
            <w:vAlign w:val="bottom"/>
            <w:shd w:val="clear" w:color="auto" w:fill="EAF9E8"/>
          </w:tcPr>
          <w:p>
            <w:pPr>
              <w:spacing w:after="0"/>
              <w:rPr>
                <w:sz w:val="15"/>
                <w:szCs w:val="15"/>
                <w:color w:val="auto"/>
              </w:rPr>
            </w:pPr>
          </w:p>
        </w:tc>
        <w:tc>
          <w:tcPr>
            <w:tcW w:w="48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(49,794)</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13,122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(159,487)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(196,159)</w:t>
            </w:r>
          </w:p>
        </w:tc>
        <w:tc>
          <w:tcPr>
            <w:tcW w:w="0" w:type="dxa"/>
            <w:vAlign w:val="bottom"/>
          </w:tcPr>
          <w:p>
            <w:pPr>
              <w:spacing w:after="0"/>
              <w:rPr>
                <w:sz w:val="1"/>
                <w:szCs w:val="1"/>
                <w:color w:val="auto"/>
              </w:rPr>
            </w:pPr>
          </w:p>
        </w:tc>
      </w:tr>
      <w:tr>
        <w:trPr>
          <w:trHeight w:val="163"/>
        </w:trPr>
        <w:tc>
          <w:tcPr>
            <w:tcW w:w="40" w:type="dxa"/>
            <w:vAlign w:val="bottom"/>
            <w:tcBorders>
              <w:top w:val="single" w:sz="8" w:color="EAF9E8"/>
            </w:tcBorders>
            <w:shd w:val="clear" w:color="auto" w:fill="EAF9E8"/>
          </w:tcPr>
          <w:p>
            <w:pPr>
              <w:spacing w:after="0"/>
              <w:rPr>
                <w:sz w:val="14"/>
                <w:szCs w:val="14"/>
                <w:color w:val="auto"/>
              </w:rPr>
            </w:pPr>
          </w:p>
        </w:tc>
        <w:tc>
          <w:tcPr>
            <w:tcW w:w="3020" w:type="dxa"/>
            <w:vAlign w:val="bottom"/>
            <w:tcBorders>
              <w:top w:val="single" w:sz="8" w:color="EAF9E8"/>
            </w:tcBorders>
            <w:shd w:val="clear" w:color="auto" w:fill="EAF9E8"/>
          </w:tcPr>
          <w:p>
            <w:pPr>
              <w:spacing w:after="0"/>
              <w:rPr>
                <w:sz w:val="14"/>
                <w:szCs w:val="14"/>
                <w:color w:val="auto"/>
              </w:rPr>
            </w:pPr>
          </w:p>
        </w:tc>
        <w:tc>
          <w:tcPr>
            <w:tcW w:w="480" w:type="dxa"/>
            <w:vAlign w:val="bottom"/>
            <w:tcBorders>
              <w:top w:val="single" w:sz="8" w:color="EAF9E8"/>
            </w:tcBorders>
            <w:shd w:val="clear" w:color="auto" w:fill="EAF9E8"/>
          </w:tcPr>
          <w:p>
            <w:pPr>
              <w:spacing w:after="0"/>
              <w:rPr>
                <w:sz w:val="14"/>
                <w:szCs w:val="14"/>
                <w:color w:val="auto"/>
              </w:rPr>
            </w:pPr>
          </w:p>
        </w:tc>
        <w:tc>
          <w:tcPr>
            <w:tcW w:w="26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tcBorders>
              <w:top w:val="single" w:sz="8" w:color="EAF9E8"/>
            </w:tcBorders>
            <w:shd w:val="clear" w:color="auto" w:fill="EAF9E8"/>
          </w:tcPr>
          <w:p>
            <w:pPr>
              <w:spacing w:after="0"/>
              <w:rPr>
                <w:sz w:val="14"/>
                <w:szCs w:val="14"/>
                <w:color w:val="auto"/>
              </w:rPr>
            </w:pPr>
          </w:p>
        </w:tc>
        <w:tc>
          <w:tcPr>
            <w:tcW w:w="28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2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Nine months ended September 30, 2015</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02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1,269,269</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106,721</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2,709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1,378,641</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Expenses (1) (2)</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940,764</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73,497</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104,133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1,118,336</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(336,088)</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(7,058)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(19,460)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(362,606)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w w:val="90"/>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500" w:type="dxa"/>
            <w:vAlign w:val="bottom"/>
            <w:gridSpan w:val="2"/>
          </w:tcPr>
          <w:p>
            <w:pPr>
              <w:ind w:left="62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97,958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97,958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Other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(15,049)</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gridSpan w:val="2"/>
          </w:tcPr>
          <w:p>
            <w:pPr>
              <w:ind w:left="6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(249,947)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(260,894)</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4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EAF9E8"/>
          </w:tcPr>
          <w:p>
            <w:pPr>
              <w:spacing w:after="0"/>
              <w:rPr>
                <w:sz w:val="15"/>
                <w:szCs w:val="15"/>
                <w:color w:val="auto"/>
              </w:rPr>
            </w:pPr>
          </w:p>
        </w:tc>
        <w:tc>
          <w:tcPr>
            <w:tcW w:w="3020" w:type="dxa"/>
            <w:vAlign w:val="bottom"/>
            <w:shd w:val="clear" w:color="auto" w:fill="EAF9E8"/>
          </w:tcPr>
          <w:p>
            <w:pPr>
              <w:spacing w:after="0"/>
              <w:rPr>
                <w:sz w:val="15"/>
                <w:szCs w:val="15"/>
                <w:color w:val="auto"/>
              </w:rPr>
            </w:pPr>
          </w:p>
        </w:tc>
        <w:tc>
          <w:tcPr>
            <w:tcW w:w="48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78,558</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39,017</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(118,164)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84"/>
        </w:trPr>
        <w:tc>
          <w:tcPr>
            <w:tcW w:w="40" w:type="dxa"/>
            <w:vAlign w:val="bottom"/>
            <w:tcBorders>
              <w:top w:val="single" w:sz="8" w:color="EAF9E8"/>
            </w:tcBorders>
            <w:shd w:val="clear" w:color="auto" w:fill="EAF9E8"/>
          </w:tcPr>
          <w:p>
            <w:pPr>
              <w:spacing w:after="0"/>
              <w:rPr>
                <w:sz w:val="24"/>
                <w:szCs w:val="24"/>
                <w:color w:val="auto"/>
              </w:rPr>
            </w:pPr>
          </w:p>
        </w:tc>
        <w:tc>
          <w:tcPr>
            <w:tcW w:w="3020" w:type="dxa"/>
            <w:vAlign w:val="bottom"/>
            <w:tcBorders>
              <w:top w:val="single" w:sz="8" w:color="EAF9E8"/>
            </w:tcBorders>
            <w:shd w:val="clear" w:color="auto" w:fill="EAF9E8"/>
          </w:tcPr>
          <w:p>
            <w:pPr>
              <w:spacing w:after="0"/>
              <w:rPr>
                <w:sz w:val="24"/>
                <w:szCs w:val="24"/>
                <w:color w:val="auto"/>
              </w:rPr>
            </w:pPr>
          </w:p>
        </w:tc>
        <w:tc>
          <w:tcPr>
            <w:tcW w:w="480" w:type="dxa"/>
            <w:vAlign w:val="bottom"/>
            <w:tcBorders>
              <w:top w:val="single" w:sz="8" w:color="EAF9E8"/>
            </w:tcBorders>
            <w:shd w:val="clear" w:color="auto" w:fill="EAF9E8"/>
          </w:tcPr>
          <w:p>
            <w:pPr>
              <w:spacing w:after="0"/>
              <w:rPr>
                <w:sz w:val="24"/>
                <w:szCs w:val="24"/>
                <w:color w:val="auto"/>
              </w:rPr>
            </w:pPr>
          </w:p>
        </w:tc>
        <w:tc>
          <w:tcPr>
            <w:tcW w:w="26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40" w:type="dxa"/>
            <w:vAlign w:val="bottom"/>
            <w:tcBorders>
              <w:top w:val="single" w:sz="8" w:color="auto"/>
            </w:tcBorders>
            <w:shd w:val="clear" w:color="auto" w:fill="EAF9E8"/>
          </w:tcPr>
          <w:p>
            <w:pPr>
              <w:spacing w:after="0"/>
              <w:rPr>
                <w:sz w:val="24"/>
                <w:szCs w:val="24"/>
                <w:color w:val="auto"/>
              </w:rPr>
            </w:pPr>
          </w:p>
        </w:tc>
        <w:tc>
          <w:tcPr>
            <w:tcW w:w="124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35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September 30,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3,455,598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3,662,316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467,536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7,585,450</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5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December 31, 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4,089,064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2,811,154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480,090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7,380,308</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5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September 30, 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4,653,917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2,571,893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753,167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7,978,977</w:t>
            </w:r>
          </w:p>
        </w:tc>
      </w:tr>
    </w:tbl>
    <w:p>
      <w:pPr>
        <w:spacing w:after="0" w:line="125" w:lineRule="exact"/>
        <w:rPr>
          <w:sz w:val="20"/>
          <w:szCs w:val="20"/>
          <w:color w:val="auto"/>
        </w:rPr>
      </w:pPr>
    </w:p>
    <w:p>
      <w:pPr>
        <w:ind w:left="500" w:right="180" w:hanging="492"/>
        <w:spacing w:after="0" w:line="275"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Inter-segment billings for services rendered to other segments are recorded as revenues, as contra-expense or as other income, depending on the type of service that is rendered.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2" w:right="239" w:bottom="1440" w:gutter="0" w:footer="0" w:header="0"/>
        </w:sectPr>
      </w:pPr>
    </w:p>
    <w:bookmarkStart w:id="44" w:name="page45"/>
    <w:bookmarkEnd w:id="44"/>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Depreciation and amortization expense are as follows:</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Corporate Items</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88"/>
              </w:rPr>
              <w:t>Business Segments</w:t>
            </w:r>
          </w:p>
        </w:tc>
      </w:tr>
      <w:tr>
        <w:trPr>
          <w:trHeight w:val="210"/>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Servicing</w:t>
            </w: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Lending</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and Other</w:t>
            </w:r>
          </w:p>
        </w:tc>
        <w:tc>
          <w:tcPr>
            <w:tcW w:w="20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42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b w:val="1"/>
                <w:bCs w:val="1"/>
                <w:color w:val="auto"/>
              </w:rPr>
              <w:t>For the three months ended September 30, 2016</w:t>
            </w:r>
          </w:p>
        </w:tc>
        <w:tc>
          <w:tcPr>
            <w:tcW w:w="260" w:type="dxa"/>
            <w:vAlign w:val="bottom"/>
            <w:tcBorders>
              <w:bottom w:val="single" w:sz="8" w:color="EAF9E8"/>
            </w:tcBorders>
            <w:shd w:val="clear" w:color="auto" w:fill="EAF9E8"/>
          </w:tcPr>
          <w:p>
            <w:pPr>
              <w:spacing w:after="0"/>
              <w:rPr>
                <w:sz w:val="18"/>
                <w:szCs w:val="18"/>
                <w:color w:val="auto"/>
              </w:rPr>
            </w:pPr>
          </w:p>
        </w:tc>
        <w:tc>
          <w:tcPr>
            <w:tcW w:w="122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EAF9E8"/>
            </w:tcBorders>
            <w:shd w:val="clear" w:color="auto" w:fill="EAF9E8"/>
          </w:tcPr>
          <w:p>
            <w:pPr>
              <w:spacing w:after="0"/>
              <w:rPr>
                <w:sz w:val="18"/>
                <w:szCs w:val="18"/>
                <w:color w:val="auto"/>
              </w:rPr>
            </w:pPr>
          </w:p>
        </w:tc>
        <w:tc>
          <w:tcPr>
            <w:tcW w:w="280" w:type="dxa"/>
            <w:vAlign w:val="bottom"/>
            <w:tcBorders>
              <w:bottom w:val="single" w:sz="8" w:color="EAF9E8"/>
            </w:tcBorders>
            <w:shd w:val="clear" w:color="auto" w:fill="EAF9E8"/>
          </w:tcPr>
          <w:p>
            <w:pPr>
              <w:spacing w:after="0"/>
              <w:rPr>
                <w:sz w:val="18"/>
                <w:szCs w:val="18"/>
                <w:color w:val="auto"/>
              </w:rPr>
            </w:pPr>
          </w:p>
        </w:tc>
        <w:tc>
          <w:tcPr>
            <w:tcW w:w="116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EAF9E8"/>
            </w:tcBorders>
            <w:shd w:val="clear" w:color="auto" w:fill="EAF9E8"/>
          </w:tcPr>
          <w:p>
            <w:pPr>
              <w:spacing w:after="0"/>
              <w:rPr>
                <w:sz w:val="18"/>
                <w:szCs w:val="18"/>
                <w:color w:val="auto"/>
              </w:rPr>
            </w:pPr>
          </w:p>
        </w:tc>
        <w:tc>
          <w:tcPr>
            <w:tcW w:w="130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EAF9E8"/>
            </w:tcBorders>
            <w:shd w:val="clear" w:color="auto" w:fill="EAF9E8"/>
          </w:tcPr>
          <w:p>
            <w:pPr>
              <w:spacing w:after="0"/>
              <w:rPr>
                <w:sz w:val="18"/>
                <w:szCs w:val="18"/>
                <w:color w:val="auto"/>
              </w:rPr>
            </w:pPr>
          </w:p>
        </w:tc>
        <w:tc>
          <w:tcPr>
            <w:tcW w:w="200" w:type="dxa"/>
            <w:vAlign w:val="bottom"/>
            <w:tcBorders>
              <w:bottom w:val="single" w:sz="8" w:color="EAF9E8"/>
            </w:tcBorders>
            <w:shd w:val="clear" w:color="auto" w:fill="EAF9E8"/>
          </w:tcPr>
          <w:p>
            <w:pPr>
              <w:spacing w:after="0"/>
              <w:rPr>
                <w:sz w:val="18"/>
                <w:szCs w:val="18"/>
                <w:color w:val="auto"/>
              </w:rPr>
            </w:pPr>
          </w:p>
        </w:tc>
        <w:tc>
          <w:tcPr>
            <w:tcW w:w="1240" w:type="dxa"/>
            <w:vAlign w:val="bottom"/>
            <w:tcBorders>
              <w:bottom w:val="single" w:sz="8" w:color="EAF9E8"/>
            </w:tcBorders>
            <w:shd w:val="clear" w:color="auto" w:fill="EAF9E8"/>
          </w:tcPr>
          <w:p>
            <w:pPr>
              <w:spacing w:after="0"/>
              <w:rPr>
                <w:sz w:val="18"/>
                <w:szCs w:val="18"/>
                <w:color w:val="auto"/>
              </w:rPr>
            </w:pP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2,730</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3,651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6,429</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(2,634)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(2,558)</w:t>
            </w: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240</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3,645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3,977</w:t>
            </w:r>
          </w:p>
        </w:tc>
      </w:tr>
      <w:tr>
        <w:trPr>
          <w:trHeight w:val="297"/>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4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b w:val="1"/>
                <w:bCs w:val="1"/>
                <w:color w:val="auto"/>
              </w:rPr>
              <w:t>For the three months ended September 30, 2015</w:t>
            </w:r>
          </w:p>
        </w:tc>
        <w:tc>
          <w:tcPr>
            <w:tcW w:w="2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4,256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5,046</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18,023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18,108</w:t>
            </w: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329</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2,981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3,325</w:t>
            </w:r>
          </w:p>
        </w:tc>
      </w:tr>
      <w:tr>
        <w:trPr>
          <w:trHeight w:val="297"/>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4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b w:val="1"/>
                <w:bCs w:val="1"/>
                <w:color w:val="auto"/>
              </w:rPr>
              <w:t>For the nine months ended September 30, 2016</w:t>
            </w:r>
          </w:p>
        </w:tc>
        <w:tc>
          <w:tcPr>
            <w:tcW w:w="2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5,068</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13,025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18,277</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18,360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18,595</w:t>
            </w: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623</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9,466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1,009</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10,475</w:t>
            </w:r>
          </w:p>
        </w:tc>
      </w:tr>
      <w:tr>
        <w:trPr>
          <w:trHeight w:val="297"/>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4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b w:val="1"/>
                <w:bCs w:val="1"/>
                <w:color w:val="auto"/>
              </w:rPr>
              <w:t>For the nine months ended September 30, 2015</w:t>
            </w:r>
          </w:p>
        </w:tc>
        <w:tc>
          <w:tcPr>
            <w:tcW w:w="2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11,439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13,467</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87,926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88,188</w:t>
            </w:r>
          </w:p>
        </w:tc>
      </w:tr>
      <w:tr>
        <w:trPr>
          <w:trHeight w:val="237"/>
        </w:trPr>
        <w:tc>
          <w:tcPr>
            <w:tcW w:w="424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1,022</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4240" w:type="dxa"/>
            <w:vAlign w:val="bottom"/>
            <w:shd w:val="clear" w:color="auto" w:fill="EAF9E8"/>
          </w:tcPr>
          <w:p>
            <w:pPr>
              <w:ind w:left="26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shd w:val="clear" w:color="auto" w:fill="EAF9E8"/>
          </w:tcPr>
          <w:p>
            <w:pPr>
              <w:spacing w:after="0"/>
              <w:rPr>
                <w:sz w:val="20"/>
                <w:szCs w:val="20"/>
                <w:color w:val="auto"/>
              </w:rPr>
            </w:pPr>
          </w:p>
        </w:tc>
        <w:tc>
          <w:tcPr>
            <w:tcW w:w="122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9,336</w:t>
            </w:r>
          </w:p>
        </w:tc>
        <w:tc>
          <w:tcPr>
            <w:tcW w:w="10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AF9E8"/>
          </w:tcPr>
          <w:p>
            <w:pPr>
              <w:spacing w:after="0"/>
              <w:rPr>
                <w:sz w:val="20"/>
                <w:szCs w:val="20"/>
                <w:color w:val="auto"/>
              </w:rPr>
            </w:pPr>
          </w:p>
        </w:tc>
        <w:tc>
          <w:tcPr>
            <w:tcW w:w="130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24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10,385</w:t>
            </w:r>
          </w:p>
        </w:tc>
      </w:tr>
      <w:tr>
        <w:trPr>
          <w:trHeight w:val="33"/>
        </w:trPr>
        <w:tc>
          <w:tcPr>
            <w:tcW w:w="424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Regulatory Requirements</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Consumer Financial Protection Bureau (CFPB), the Department of Housing and Urban Development (HUD), the SEC and various state agencies that license, audit and conduct examinations of our loan servicing, origination and collection activities. In addition, we operate under a number of regulatory settlements that subject us to ongoing monitoring or reporting. From time to time, we also receive requests from federal, state and local agencies for records, documents and information relating to the policies, procedures and practices of our loan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the current regulatory environment, we have faced and expect to continue to face increased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any of the following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(viii) inability to execute on our business strategy. In addition to amounts paid to resolve regulatory matters, we could be required to pay for the costs of third party firms to monitor our compliance with such resolutions. We have recognized $162.6 million in such third party monitoring costs from January 1, 2014 through September 30, 2016 in connection with our settlements with the California Department of Business Oversight (CA DBO) and the New York Department of Financial Services (NY DFS) and in connection with our National Mortgage Settlement.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589" w:right="279" w:bottom="1440" w:gutter="0" w:footer="0" w:header="0"/>
        </w:sectPr>
      </w:pPr>
    </w:p>
    <w:bookmarkStart w:id="45" w:name="page46"/>
    <w:bookmarkEnd w:id="45"/>
    <w:p>
      <w:pPr>
        <w:ind w:firstLine="324"/>
        <w:spacing w:after="0" w:line="270" w:lineRule="auto"/>
        <w:rPr>
          <w:sz w:val="20"/>
          <w:szCs w:val="20"/>
          <w:color w:val="auto"/>
        </w:rPr>
      </w:pPr>
      <w:r>
        <w:rPr>
          <w:rFonts w:ascii="Arial" w:cs="Arial" w:eastAsia="Arial" w:hAnsi="Arial"/>
          <w:sz w:val="17"/>
          <w:szCs w:val="17"/>
          <w:color w:val="auto"/>
        </w:rPr>
        <w:t>We must comply with a large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the Telephone Consumer Protection Act, the Equal Credit Opportunity Act, the Dodd-Frank Wall Street Reform and Consumer Protection Act and state foreclosure laws.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The recent trend among federal, state and local lawmakers and regulators has been toward increasing laws, regulations and investigative proceedings with regard to residential real estate lenders and servicers.</w:t>
      </w:r>
    </w:p>
    <w:p>
      <w:pPr>
        <w:spacing w:after="0" w:line="7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CFPB directly affects the regulation of residential mortgage servicing in a number of ways. First, the CFPB has rule making authority with respect to many of the federal consumer protection laws applicable to mortgage lenders and servicers, including TILA and RESPA, as reflected in the new rules for servicing and origination that went into effect in 2014, and the TILA/RESPA Integrated Disclosure rules, also known as TRID.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Accordingly, we are subject to supervision, examination and enforcement by the CFPB. As previously disclosed, Ocwen has received several Civil Investigative Demands, or investigative subpoenas, from the CFPB seeking information about our servicing practices followed by a Notice and Opportunity to Respond and Advise (NORA) letter from the CFPB under which the CFPB (1) notified us that the CFPB’s Office of Enforcement is considering recommending that the CFPB take legal action against us relating to compliance with federal laws pertaining to our servicing practices and (2) provided us with the opportunity to make a NORA submission, which is a written statement setting forth reasons of law, policy and fact as to why we do not believe such action is appropriate. We made a NORA submission detailing why such action would not be appropriate. Subsequently, we have been informed that the enforcement staff has been authorized to engage with us regarding the resolution of their concerns, which could result in a Consent Order and could entail payment of monetary amounts by us or injunctive relief. If we are unable to resolve such concerns, and the CFPB were to bring an enforcement action against us, such action could have a material adverse impact on our business, reputation, financial condition and results of operations.</w:t>
      </w:r>
    </w:p>
    <w:p>
      <w:pPr>
        <w:spacing w:after="0" w:line="183"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We expect to continue to invest significantly in our operational platform and risk and compliance management systems in order to comply with these laws and regulations. Furthermore, there may be additional federal or state laws enacted that place additional obligations on servicers and originators of residential mortgage loans.</w:t>
      </w:r>
    </w:p>
    <w:p>
      <w:pPr>
        <w:spacing w:after="0" w:line="7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Ocwen has various subsidiaries, including OLS, Homeward and Liberty, that are licensed to originate and/or service forward and reverse mortgage loans in the jurisdictions in which they operate. 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The minimum net worth requirements to which our licensed entities are subject are unique to each state and type of license. The most restrictive of these net worth requirements is based on the outstanding UPB of the owned and subserviced portfolio of OLS and was $475.3 million at September 30, 2016. We believe our licensed entities are currently in compliance with all of their minimum net worth requirements.</w:t>
      </w:r>
    </w:p>
    <w:p>
      <w:pPr>
        <w:spacing w:after="0" w:line="5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OLS, Homeward and Liberty are also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counterparties has communicated any material sanction, suspension or prohibition in connection with our seller/servicer obligations. We believe we were in compliance with the related net worth requirements at September 30, 2016. Our non-Agency servicing agreements also contain requirements regarding servicing practices and other matters, and a failure to comply with these requirements could have an adverse impact on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692" w:right="259" w:bottom="1440" w:gutter="0" w:footer="0" w:header="0"/>
        </w:sectPr>
      </w:pPr>
    </w:p>
    <w:bookmarkStart w:id="46" w:name="page47"/>
    <w:bookmarkEnd w:id="46"/>
    <w:p>
      <w:pPr>
        <w:ind w:right="140" w:firstLine="324"/>
        <w:spacing w:after="0" w:line="255" w:lineRule="auto"/>
        <w:rPr>
          <w:sz w:val="20"/>
          <w:szCs w:val="20"/>
          <w:color w:val="auto"/>
        </w:rPr>
      </w:pPr>
      <w:r>
        <w:rPr>
          <w:rFonts w:ascii="Arial" w:cs="Arial" w:eastAsia="Arial" w:hAnsi="Arial"/>
          <w:sz w:val="18"/>
          <w:szCs w:val="18"/>
          <w:color w:val="auto"/>
        </w:rPr>
        <w:t>Transfers of mortgage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have been and will be required to devote time and resources to ensuring compliance and engaging with such regulators in connection with our recent sales of MSRs and any future transfers of mortgage servicing.</w:t>
      </w:r>
    </w:p>
    <w:p>
      <w:pPr>
        <w:spacing w:after="0" w:line="18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There are a number of foreign laws and regulations that are applicable to our operations in India and the Philippines, including acts that govern licensing, employment, safety, taxes, insurance and the laws and regulations that govern the creation, continuation and the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have originated floating-rate reverse mortgage loans under which the borrowers have additional borrowing capacity of $1.1 billion at September 30, 2016. This additional borrowing capacity is available on a scheduled or unscheduled payment basis. We also had short-term commitments to lend $458.9 million and $31.1 million in connection with our forward and reverse mortgage loan interest rate lock commitments, respectively, outstanding at September 30, 2016. We finance originated and purchased forward and reverse mortgage loans with repurchase and participation agreements, commonly referred to as warehouse lines.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Contracts</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Our business is currently dependent on many of the services and products provided by Altisource Portfolio Solutions, S.A. (Altisource) under long-term agreements, many of which include renewal provisions.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 obligations (for example, because it entered bankruptcy), our business and operations would suffer. In addition, if Altisource fails to develop and maintain its technology so as to provide us with a competitive platform, our business could suffer.</w:t>
      </w:r>
    </w:p>
    <w:p>
      <w:pPr>
        <w:spacing w:after="0" w:line="5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Each of 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and a General Referral Fee agreement pursuant to which Ocwen receives referral fees which are paid out of the commission that would otherwise be paid to Altisource as the selling broker in connection with real estate sales services provided by Altisource.</w:t>
      </w:r>
    </w:p>
    <w:p>
      <w:pPr>
        <w:spacing w:after="0" w:line="5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sales-related services.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w:t>
      </w:r>
    </w:p>
    <w:p>
      <w:pPr>
        <w:spacing w:after="0" w:line="8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have also entered into Support Services Agreements with Altisource setting forth certain services that Altisource and Ocwen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During 2014, we began reducing the amount of services provided to us under the Support Services Agreements. Beginning April 1, 2015, the only services that were regularly provided under these Support Services Agreements were corporate services such as vendor procurement for technology and facilities management services. Altisource does not currently provide any services to us under the Support Services Agreements.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692"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 19 – Contingencies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jc w:val="both"/>
        <w:ind w:right="420" w:firstLine="324"/>
        <w:spacing w:after="0" w:line="312" w:lineRule="auto"/>
        <w:rPr>
          <w:sz w:val="20"/>
          <w:szCs w:val="20"/>
          <w:color w:val="auto"/>
        </w:rPr>
      </w:pPr>
      <w:r>
        <w:rPr>
          <w:rFonts w:ascii="Arial" w:cs="Arial" w:eastAsia="Arial" w:hAnsi="Arial"/>
          <w:sz w:val="16"/>
          <w:szCs w:val="16"/>
          <w:color w:val="auto"/>
        </w:rPr>
        <w:t>In the ordinary course of business, we are routinely a defendant in, or a party or potential party to, many threatened and pending legal proceedings, including proceedings brought on behalf of various classes of claimants, those brought derivatively on behalf of Ocwen against certain current or former officers and directors, and those brought under the False Claims Act by private citizens on behalf of the United States of America.</w:t>
      </w:r>
    </w:p>
    <w:p>
      <w:pPr>
        <w:spacing w:after="0" w:line="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proceedings are generally based on alleged violations of federal, state and local laws and regulations governing our mortgage servicing and lending activities, including wrongful foreclosure and eviction actions, allegations of wrongdoing in connection with lender-placed insurance arrangements, claims relating to our pre-foreclosure property preservation activities, claims relating to our written and telephonic communications with our borrowers such as claims under the Telephone Consumer Protection Act, claims related to our payment and other processing operations, and claims regarding certifications of our legal compliance related to our participation in certain government programs. In some of these proceedings, claims for substantial monetary damages are asserted against us.</w:t>
      </w:r>
    </w:p>
    <w:p>
      <w:pPr>
        <w:spacing w:after="0" w:line="85"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63"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Where we determine that a loss contingency is probable in connection with a pending or threatened legal proceeding and the amount of our loss can be reasonably estimated, we record an accrual for the loss. Excluding expenses of internal or external legal counsel, we have accrued $44.6 million as of September 30, 2016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We cannot currently estimate the amount, if any, of reasonably possible losses above amounts that have been recorded at September 30, 2016.</w:t>
      </w:r>
    </w:p>
    <w:p>
      <w:pPr>
        <w:spacing w:after="0" w:line="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previously disclosed several putative securities fraud class action lawsuits filed against Ocwen and certain of its officers and directors that contain allegations in connection with the restatements of our fourth quarter 2013 and first quarter 2014 financial statements and our December 2014 Consent Order with the NY DFS, among other matters. Those lawsuits have been consolidated and are pending in federal court in Florida. In September 2015, the presiding federal court dismissed the consolidated securities fraud class action. That action has since been re-filed in federal court. On December 22, 2015, the presiding federal court dismissed in part the action and it remains pending. In January 2016, Ocwen was named as a defendant in a separate securities action brought on behalf of certain putative shareholders of Ocwen. Additional lawsuits may be filed and, at this time, Ocwen is unable to predict the outcome of these lawsuits, the possible loss or range of loss, if any, associated with the resolution of these lawsuits or any potential impact they may have on us or our operations. Ocwen and the other defendants intend to vigorously defend against these lawsuits. If our efforts to defend these lawsuits are not successful, our business, financial condition, liquidity and results of operations could be materially and adversely affected.</w:t>
      </w:r>
    </w:p>
    <w:p>
      <w:pPr>
        <w:spacing w:after="0" w:line="59"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have reached an agreement in principle to resolve certain previously disclosed claims brought derivatively by purported shareholders in an amount we believe will be covered in full by our applicable insurance coverage. A Special Litigation Committee established by the independent directors of our Board had previously concluded that pursuit of these claims would not be in the best interests of the Company. If our efforts to finalize this resolution or to otherwise defend these derivative matters are not successful, our business, financial condition, liquidity and results of operations could be materially and adversely affected.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97" w:right="239" w:bottom="1440" w:gutter="0" w:footer="0" w:header="0"/>
        </w:sectPr>
      </w:pPr>
    </w:p>
    <w:bookmarkStart w:id="48" w:name="page49"/>
    <w:bookmarkEnd w:id="48"/>
    <w:p>
      <w:pPr>
        <w:ind w:right="20" w:firstLine="324"/>
        <w:spacing w:after="0" w:line="259" w:lineRule="auto"/>
        <w:rPr>
          <w:sz w:val="20"/>
          <w:szCs w:val="20"/>
          <w:color w:val="auto"/>
        </w:rPr>
      </w:pPr>
      <w:r>
        <w:rPr>
          <w:rFonts w:ascii="Arial" w:cs="Arial" w:eastAsia="Arial" w:hAnsi="Arial"/>
          <w:sz w:val="18"/>
          <w:szCs w:val="18"/>
          <w:color w:val="auto"/>
        </w:rPr>
        <w:t>OFC, OLS, and Homeward have reached an agreement in principle to settle the following previously disclosed litigation matters relating to claims under the False Claims Act: U.S. Ex rel. Fisher v. Homeward Residential, Inc., et al and U.S. Ex rel. Fisher v. Ocwen Loan Servicing, LLC, et al (the Fisher Cases). The United States Department of Justice has agreed to seek final approval of the settlement in principle. Subject to documentation of a definitive settlement and final approval by the United States, the settlement includes the following terms:</w:t>
      </w:r>
    </w:p>
    <w:p>
      <w:pPr>
        <w:spacing w:after="0" w:line="7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admission of liability or wrongdoing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of $15.0 million to the United States and $15.0 million for the private citizens’ attorneys’ fees and costs.</w:t>
      </w:r>
    </w:p>
    <w:p>
      <w:pPr>
        <w:spacing w:after="0" w:line="10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Ocwen agreed to the settlement, notwithstanding its belief that it has sound legal and factual defenses, in order to avoid the uncertain outcome of two trials and the additional expense and management time involved. We accrued $30.0 million as of June 30, 2016 with respect to the settlement in principle and we continue to believe this amount is both probable and reasonably estimable based on current information. We have not yet paid any portion of this $30 million accrual. There can be no assurance that the settlement in principle will be finalized and approved by the United States and the Court. In the event the settlement in principle is not ultimately finalized and approved, the Fisher Cases would continue and we would vigorously defend the allegations made against Ocwen. If our efforts to defend were not successful, our business, financial condition, liquidity and results of operations could be materially and adversely affected. The $44.6 million accrual for litigation matters noted above includes the $30 million accrual for the Fisher Cases.</w:t>
      </w:r>
    </w:p>
    <w:p>
      <w:pPr>
        <w:spacing w:after="0" w:line="5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 loan. We have entered into tolling agreements with respect to our role as servicer for a small number of securitizations relating to our performance under the servicing agreements for those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Ocwen is a party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allegations that we failed to service loans in accordance with applicable agreements and that such failures prejudiced the rights of repurchase claimants against loan sellers or otherwise diminished the value of the trust collateral.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financial condition and results of operations could be adversely affected.</w:t>
      </w:r>
    </w:p>
    <w:p>
      <w:pPr>
        <w:spacing w:after="0" w:line="17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a number of RMBS trustees have received notices of default alleging material failures by servicers to comply with applicable servicing agreements. For example, certain investors claiming to hold at least 25% ownership interest in 119 RMBS trusts serviced by Ocwen have submitted to the respective trustees of those trusts a Notice of Non-Performance, alleging that we have materially breached our obligations under the servicing agreements in those trusts. The Notice further alleged that our conduct, if not timely cured, would give rise to events of default under the applicable servicing agreements, on the basis of which we could potentially be terminated as servicer for the 119 Trusts. Ocwen denies the allegations in the Notice and intends to vigorously rebut them. Since the Notice was issued, Ocwen has been directed by the trustee for two of the trusts to transfer its servicing to another loan servicing company based on ratings downgrades. There is a risk that Ocwen could be replaced as servicer on the remaining trusts at issue in the Notice, that the trustees could take legal action on behalf of the trust certificateholders, or, under certain circumstances, that the investors who issued the Notice could seek to press their allegations against Ocwen, independent of the trustees. We are unable at this time to predict what, if any, actions the trustees will take in response to the Notice, nor can we predict at this time the potential loss or range of loss, if any, associated with the resolution of the Notice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jc w:val="both"/>
        <w:ind w:right="220" w:firstLine="324"/>
        <w:spacing w:after="0" w:line="297" w:lineRule="auto"/>
        <w:rPr>
          <w:sz w:val="20"/>
          <w:szCs w:val="20"/>
          <w:color w:val="auto"/>
        </w:rPr>
      </w:pPr>
      <w:r>
        <w:rPr>
          <w:rFonts w:ascii="Arial" w:cs="Arial" w:eastAsia="Arial" w:hAnsi="Arial"/>
          <w:sz w:val="16"/>
          <w:szCs w:val="16"/>
          <w:color w:val="auto"/>
        </w:rPr>
        <w:t>We are subject to a number of ongoing federal and state regulatory examinations, consent orders, inquiries,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692" w:right="279" w:bottom="1440" w:gutter="0" w:footer="0" w:header="0"/>
        </w:sectPr>
      </w:pPr>
    </w:p>
    <w:bookmarkStart w:id="49" w:name="page50"/>
    <w:bookmarkEnd w:id="49"/>
    <w:p>
      <w:pPr>
        <w:ind w:right="60"/>
        <w:spacing w:after="0" w:line="342" w:lineRule="auto"/>
        <w:rPr>
          <w:sz w:val="20"/>
          <w:szCs w:val="20"/>
          <w:color w:val="auto"/>
        </w:rPr>
      </w:pPr>
      <w:r>
        <w:rPr>
          <w:rFonts w:ascii="Arial" w:cs="Arial" w:eastAsia="Arial" w:hAnsi="Arial"/>
          <w:sz w:val="16"/>
          <w:szCs w:val="16"/>
          <w:color w:val="auto"/>
        </w:rPr>
        <w:t>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December 2012, we entered into a consent order with the NY DFS in which we agreed to the appointment of a Monitor to oversee our compliance with an Agreement on Servicing Practices that we had entered into with the NY DFS in September 2011. After the Monitor began its work in 2013, the NY DFS began an investigation into Ocwen’s compliance with the servicing requirements specified in the Agreement on Servicing Practices as well as New York State laws and regulations relating to the servicing of residential mortgages.</w:t>
      </w:r>
    </w:p>
    <w:p>
      <w:pPr>
        <w:spacing w:after="0" w:line="18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December 2014, Ocwen reached a settlement with the NY DFS related to this investigation and entered into a consent order (the NY Consent Order) with the NY DFS to reflect such settlement. The settlement contained monetary and non-monetary provisions including the payment of a civil monetary penalty of $100.0 million and restitution in the amount of $50.0 million to certain New York borrowers and the appointment of an independent Operations Monitor for a two-year period ending March 2017, extendable for one year at the discretion of the NY DFS. We must pay all reasonable and necessary costs of the Operations Monitor.</w:t>
      </w:r>
    </w:p>
    <w:p>
      <w:pPr>
        <w:spacing w:after="0" w:line="8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continue to work with the Operations Monitor. If we are found to have breached the terms of the NY Consent Order or if the NY DFS or the Operations Monitor were to allege non-compliance with New York laws or regulations, we could become subject to financial penalties or other regulatory action could be taken against us. The Operations Monitor also makes recommendations to Ocwen on various operational and governance matters. If we do not address such recommendations in a manner deemed satisfactory by the Operations Monitor and the NY DFS, we could be subject to additional scrutiny by the Operations Monitor or the NY DFS or other regulatory action could be taken against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January 2015, OLS reached an agreement with the CA DBO relating to Ocwen’s failure to produce certain information and documents during a routine licensing examination, which resulted in the CA DBO withdrawing its notice of hearing to suspend OLS’ license in California. OLS and the CA DBO entered into a Consent Order pursuant to the California Residential Mortgage Lending Act (the CA Consent Order) with the CA DBO to reflect such settlement. The CA Consent Order addresses and resolves the examination disputes between the CA DBO and OLS, and does not involve any accusation or admission of wrongdoing with regard to OLS’ servicing practices.</w:t>
      </w:r>
    </w:p>
    <w:p>
      <w:pPr>
        <w:spacing w:after="0" w:line="8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Under the terms of the CA Consent Order, OLS paid the CA DBO a penalty of $2.5 million plus costs associated with the examination. OLS also agreed to cease acquiring any additional MSRs for loans secured in California until the CA DBO is satisfied that OLS can satisfactorily respond to the requests for information and documentation made in the course of a regulatory exam.</w:t>
      </w:r>
    </w:p>
    <w:p>
      <w:pPr>
        <w:spacing w:after="0" w:line="73"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In addition, the CA DBO has selected an independent third-party auditor (the CA Auditor) to assess OLS’ compliance with laws and regulations impacting California borrowers for an initial term of two years ending July 2017, extendable at the discretion of the CA DBO. OLS must pay all reasonable and necessary costs of the CA Auditor. The CA Auditor will report periodically on its findings and progress, and OLS must submit to the CA DBO a written plan to address and implement corrective measures and address any deficiencies identified by the CA Auditor.</w:t>
      </w:r>
    </w:p>
    <w:p>
      <w:pPr>
        <w:spacing w:after="0" w:line="6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During the third quarter, we continued to work with the CA Auditor. As part of the CA Auditor’s work, from time to time the CA Auditor and the CA DBO have made observations regarding our compliance with various regulations and legal requirements, including the Consent Order. As part of these observations, the CA DBO has informed us of its position that certain onboarding activities relating to new California originations in 2015 were prohibited by the Consent Order and represent a material breach of the agreement. We disagree with this position. Given that we have already made adjustments to our processes for California originations, the CA DBO has not asked us to make any additional changes to such processes at this time. The CA DBO has also raised similar concerns related to our on-boarding of loans subject to subservicing agreements. The CA DBO is still evaluating this activity as it relates to the Consent Order. The CA DBO has not asked us to cease any subservicing activities, and these activities are not material to our overall operations. However, it is possible that the CA DBO could determine to take action against us, which could subject us to financial penalties or other regulatory action, and it is possible that the CA Auditor or the CA DBO could allege that other activities do not comply with California laws or regulations, which could also result in regulatory action against us.</w:t>
      </w:r>
    </w:p>
    <w:p>
      <w:pPr>
        <w:spacing w:after="0" w:line="7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have recently engaged in discussions with the CA DBO regarding the possibility of resolving certain matters relating to OLS’ servicing practices and early termination of the Consent Order, which would also terminate the CA Auditor engagement. We have not reached any agreement with the CA DBO and cannot predict whether or when we may reach such an agreement; however, we have offered to pay $25.0 million to the CA DBO to settle and terminate the Consent Order, and therefore, pursuant to ASC 450, we have accrued this amount in our financial statements as of September 30, 2016. Whether or not we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92" w:right="239" w:bottom="1440" w:gutter="0" w:footer="0" w:header="0"/>
        </w:sectPr>
      </w:pPr>
    </w:p>
    <w:bookmarkStart w:id="50" w:name="page51"/>
    <w:bookmarkEnd w:id="50"/>
    <w:p>
      <w:pPr>
        <w:ind w:right="200"/>
        <w:spacing w:after="0" w:line="264" w:lineRule="auto"/>
        <w:rPr>
          <w:sz w:val="20"/>
          <w:szCs w:val="20"/>
          <w:color w:val="auto"/>
        </w:rPr>
      </w:pPr>
      <w:r>
        <w:rPr>
          <w:rFonts w:ascii="Arial" w:cs="Arial" w:eastAsia="Arial" w:hAnsi="Arial"/>
          <w:sz w:val="18"/>
          <w:szCs w:val="18"/>
          <w:color w:val="auto"/>
        </w:rPr>
        <w:t>reach an agreement after discussions with the CA DBO, it is possible that we could incur losses that materially exceed this amount, which could have a material adverse impact our on our business, reputation, financial condition, liquidity and results of operations. We cannot currently estimate the amount, if any, of reasonably possible loss above amounts that have been recorded as of September 30, 2016.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Mortgage Settlement</w:t>
      </w:r>
    </w:p>
    <w:p>
      <w:pPr>
        <w:spacing w:after="0" w:line="229"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In February 2014, the Ocwen National Mortgage Settlement involving the CFPB and various state attorneys general and other state agencies that regulate the mortgage servicing industry (NMS Regulators), relating to various allegations regarding deficient mortgage servicing practices, including those with respect to foreclosures, was memorialized by a consent order entered by the United States District Court for the District of Columbia (District Court).</w:t>
      </w:r>
    </w:p>
    <w:p>
      <w:pPr>
        <w:spacing w:after="0" w:line="3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tested on a quarterly basis on various metrics to ensure compliance with the Ocwen National Mortgage Settlement. These metrics relate to various aspects of our servicing business, and each has a proscribed error threshold. These metrics are tested by a dedicated group of Ocwen employees who do not report to the Servicing business and are referred to as the Internal Review Group (IRG). The IRG tests these metrics, and reports their findings to the professional firms employed by the Office of Mortgage Settlement Oversight (OMSO). OMSO has ultimate authority to accept or reject the IRG’s findings, and OMSO reports its findings to the District Court.</w:t>
      </w:r>
    </w:p>
    <w:p>
      <w:pPr>
        <w:spacing w:after="0" w:line="80"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Exceeding the metric error rate threshold for the first time does not result in a violation of the settlement, but rather it is deemed a “potential violation” which then is subject to a cure period. Any potential violation requires us to submit a corrective action plan (CAP) to OMSO for approval and review, and all testing for that metric is suspended until the CAP is completed. Following the completion of the CAP, testing on that metric resumes by the IRG and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w:t>
      </w:r>
    </w:p>
    <w:p>
      <w:pPr>
        <w:spacing w:after="0" w:line="5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To date, OMSO’s reports have detailed eight instances where our testing has exceeded the applicable error rate threshold for a metric. Ocwen also agreed with OMSO to deem five additional metrics as having failed as part of a “global CAP” due to the letter-dating issues that were raised by the NY DFS in 2014, as the testing of those metrics could have been affected by that issue. Each of those metrics has been the subject of an agreed-upon CAP, and four of those potential violations plus the global CAP for letter dating have been deemed “cured” by OMSO as subsequent testing was found to be within the required error rate threshold. The remainder of the metrics are either still under CAPs or the post-cure testing has yet to be validated by OMSO. It is also possible that if we are found to have caused borrower harm, we would be subject to costs to remediate that harm. In addition, in the event that there were widespread metric failures, it is possible that OMSO or the District Court could determine that we were generally violating the settlement and seek to impose a broader range of financial, injunctive or other penalties on us.</w:t>
      </w:r>
    </w:p>
    <w:p>
      <w:pPr>
        <w:spacing w:after="0" w:line="1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December 2014, OMSO identified two issues involving our compliance with the Ocwen National Mortgage Settlement. The first concerned the adequacy and independence of our IRG, which is responsible for reporting on our compliance with the settlement. The second concerned the letter dating issues discussed above. OMSO’s reports since then have identified the steps we have taken to remediate these issues and acknowledged Ocwen’s cooperation. OMSO’s most recent compliance report, dated September 8, 2016, covering the first third and fourth quarters of 2015, indicated that the IRG performed its work in all material respects as required under the National Mortgage Settlement. The report noted that Ocwen failed two metrics tests for the fourth quarter of 2015, both of which related to lender-placed insurance, but also noted that Ocwen had submitted, and OMSO had approved, CAPs for those two errors. OMSO’s April 28, 2016 report indicated that the letter-dating issues are subject to the global CAP discussed above, which OMSO deemed completed. That report further indicated that Ocwen did not fail any metrics in the first two quarters of 2015. In the same report, OMSO indicated that Ocwen completed all Consumer Relief required under the National Mortgage Settlement, crediting Ocwen with over $2.1 billion in consumer relief credits, which exceeded Ocwen’s obligations.</w:t>
      </w:r>
    </w:p>
    <w:p>
      <w:pPr>
        <w:spacing w:after="0" w:line="70"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continue to work with OMSO on ongoing testing and CAPs. While, to date, these issues have not resulted in financial or other penalties, if we are found to have breached the Ocwen National Mortgage Settlement, we could become subject to financial penalties or other regulatory action could be taken against us.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w:t>
      </w:r>
    </w:p>
    <w:p>
      <w:pPr>
        <w:spacing w:after="0" w:line="12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In February 2015, we received a letter from the New York Regional Office of the SEC (the Staff) informing us that it was conducting an investigation relating to the use of collection agents by mortgage loan servicers. The letter requested that we voluntarily produce documents and information. We believe that the February 2015 letter was also sent to other companies in the industry. On February 11, 2016, we received a letter from the Staff informing us that it was conducting an investigation relating to fees and expenses incurred in connection with liquidated loans and REO properties held in non-agency RMBS trusts.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692" w:right="259" w:bottom="1440" w:gutter="0" w:footer="0" w:header="0"/>
        </w:sectPr>
      </w:pPr>
    </w:p>
    <w:bookmarkStart w:id="51" w:name="page52"/>
    <w:bookmarkEnd w:id="51"/>
    <w:p>
      <w:pPr>
        <w:ind w:right="2160"/>
        <w:spacing w:after="0" w:line="375" w:lineRule="auto"/>
        <w:rPr>
          <w:sz w:val="20"/>
          <w:szCs w:val="20"/>
          <w:color w:val="auto"/>
        </w:rPr>
      </w:pPr>
      <w:r>
        <w:rPr>
          <w:rFonts w:ascii="Arial" w:cs="Arial" w:eastAsia="Arial" w:hAnsi="Arial"/>
          <w:sz w:val="18"/>
          <w:szCs w:val="18"/>
          <w:color w:val="auto"/>
        </w:rPr>
        <w:t xml:space="preserve">The letter requested that we voluntarily produce documents and information. We are cooperating with the Staff on these matters. </w:t>
      </w:r>
      <w:r>
        <w:rPr>
          <w:rFonts w:ascii="Arial" w:cs="Arial" w:eastAsia="Arial" w:hAnsi="Arial"/>
          <w:sz w:val="18"/>
          <w:szCs w:val="18"/>
          <w:b w:val="1"/>
          <w:bCs w:val="1"/>
          <w:color w:val="auto"/>
        </w:rPr>
        <w:t>General</w:t>
      </w:r>
    </w:p>
    <w:p>
      <w:pPr>
        <w:spacing w:after="0" w:line="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addition to the above matters, our loan origination and servicing businesses require one or more licenses in the various jurisdictions in which we operate. Our licensed entities are required to renew their licenses, typically on an annual basis, and to do so they must satisfy the license renewal requirements of each jurisdiction, which in some cases include the requirement to provide audited financial statements.</w:t>
      </w:r>
    </w:p>
    <w:p>
      <w:pPr>
        <w:spacing w:after="0" w:line="73"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same agencies that issue licenses to us engage in regular supervisory examinations of the licensable activities. We are also subject to supervision by the CFPB at the federal level, and it similarly has the authority to conduct regulatory examinations, in addition to its enforcement and investigatory powers. These examinations are part of our ordinary course business activities, and the mere existence of an examination is not typically indicative of anything unusual or material as to that business. The GSEs (and their conservator, FHFA), HUD, FHA, VA, Ginnie Mae, the United States Treasury Department, and others also subject us to periodic reviews and audits. We also receive information requests and other inquiries, both formal and informal in nature, from these agencies as part of their general regulatory or other oversight of our origination and servicing businesses.</w:t>
      </w:r>
    </w:p>
    <w:p>
      <w:pPr>
        <w:spacing w:after="0" w:line="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also have regular engagements with not only our state financial regulators, but also the attorneys general in the various states and the CFPB to address individual borrower complaints that they bring to our attention, or to respond to information requests and other inquiries. On occasion, we also engage with U.S. attorneys. Many of these matters are brought to our attention as a complaint that the entity is investigating, although some are formal investigations or proceedings. Ocwen is currently in receipt of one Civil Investigative Demand from the Massachusetts Attorney’s General Office and two subpoenas from the Office of the United States Attorney for the District of Massachusetts seeking information about our servicing practices in addition to the regulatory matters discussed above under Note 17 – Regulatory Requirements, including the NORA letter from the CFPB and our discussions with the CFPB on these matters.</w:t>
      </w:r>
    </w:p>
    <w:p>
      <w:pPr>
        <w:spacing w:after="0" w:line="8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 the extent that an examination, monitorship, audit or other regulatory engagement results in an alleged failure by us to comply with applicable law, regulation or licensing requirement, or if allegations are made that we have failed to comply with the commitments we have made in connection with our regulatory settlements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exposure to origination representation, warranty and indemnification obligations because of our lending, sales and securitization activities and in connection with our servicing practices. At September 30, 2016 and September 30, 2015, we had outstanding representation and warranty repurchase demands of $59.3 million UPB (272 loans) and $101.1 million (516 loans), respectively. We review each demand and monitor through resolution, primarily through rescission, loan repurchase or make-whole payment.</w:t>
      </w:r>
    </w:p>
    <w:p>
      <w:pPr>
        <w:spacing w:after="0" w:line="79" w:lineRule="exact"/>
        <w:rPr>
          <w:sz w:val="20"/>
          <w:szCs w:val="20"/>
          <w:color w:val="auto"/>
        </w:rPr>
      </w:pPr>
    </w:p>
    <w:p>
      <w:pPr>
        <w:ind w:right="640" w:firstLine="324"/>
        <w:spacing w:after="0" w:line="308" w:lineRule="auto"/>
        <w:rPr>
          <w:sz w:val="20"/>
          <w:szCs w:val="20"/>
          <w:color w:val="auto"/>
        </w:rPr>
      </w:pPr>
      <w:r>
        <w:rPr>
          <w:rFonts w:ascii="Arial" w:cs="Arial" w:eastAsia="Arial" w:hAnsi="Arial"/>
          <w:sz w:val="17"/>
          <w:szCs w:val="17"/>
          <w:color w:val="auto"/>
        </w:rPr>
        <w:t>The following table presents the changes in our liability for representation and warranty obligations, compensatory fees for foreclosures that may ultimately exceed investor timelines and similar indemnification obligations for the nine months ended September 30: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132,918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 for representation and warranty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New production reserves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Payments made in connection with sales of MSRs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(30,906)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Charge-offs and other (1)</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(6,396)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(17,498)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27,111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86,873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0" w:hanging="492"/>
        <w:spacing w:after="0" w:line="275"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92" w:right="239" w:bottom="1440" w:gutter="0" w:footer="0" w:header="0"/>
        </w:sectPr>
      </w:pPr>
    </w:p>
    <w:bookmarkStart w:id="52" w:name="page53"/>
    <w:bookmarkEnd w:id="52"/>
    <w:p>
      <w:pPr>
        <w:ind w:right="2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September 30, 2016</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OLS, on its own behalf and on behalf of various investors, has been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Ocwen is in the process of settlement discussions with certain mortgage insurers. In some cases, Ocwen has entered into tolling agreements, initiated arbitration or litigation, or taken other similar actions. While we expect the ultimate outcome to result in recovery of some unpaid mortgage insurance claims, we cannot quantify the likely amount at this time.</w:t>
      </w:r>
    </w:p>
    <w:p>
      <w:pPr>
        <w:spacing w:after="0" w:line="169" w:lineRule="exact"/>
        <w:rPr>
          <w:sz w:val="20"/>
          <w:szCs w:val="20"/>
          <w:color w:val="auto"/>
        </w:rPr>
      </w:pPr>
    </w:p>
    <w:p>
      <w:pPr>
        <w:ind w:left="980" w:right="2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per share amounts and unless otherwise indicated)</w:t>
      </w:r>
    </w:p>
    <w:p>
      <w:pPr>
        <w:spacing w:after="0" w:line="5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You should bear these factors in mind when considering such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 looking statements, and this may happen again. You should consider all uncertainties and risks discussed or referenced in this report, including those under “Forward-Looking Statements” and Item 1A, Risk Factors, as well as those discussed in our other reports and filings with the SEC, including those in our Annual Report on Form 10-K for the year ended December 31, 2015 and our Quarterly and Current Reports on Form 10-Q and Form 8-K, respectively, since such date.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 financial services company that services and originates loans.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a leader in the servicing industry in foreclosure prevention and loss mitigation, which helps families stay in their homes and improves financial outcomes for loan investors. Our leadership in the industry is evidenced by our high cure rate for delinquent loans and above average rate of continuing performance by homeowners whose loans we have modified. Ocwen has provided 20% of the loan modifications under the Federal Government’s Home Affordable Modification Program (HAMP) – more than any other mortgage servicer and 52% more than the next highest servicer, according to data published in the U.S. Treasury’s Making Home Affordable Second Quarter 2016 Program Performance Report. Ocwen also received a three-star rating, the highest rating, across all the compliance categories that the U.S. Treasury evaluates. Overall, Ocwen completed nearly 701,000 loan modifications from January 1, 2008 through September 30, 2016.</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primarily originate, purchase, sell and securitize conventional and government-insured forward mortgage loans and reverse mortgages.</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discussed in further detail under “Operations Summary” and “Segment Results of Operations” below, the key driver of our operating results for the quarter ended September 30, 2016, as compared to the three months ended September 30, 2015, was a decline in servicing revenue, resulting from a decrease in the total UPB of our residential servicing portfolio from $288.1 billion as of September 30, 2015 to $216.9 billion as of September 30, 2016, driven largely by the execution of our strategy to sell certain of our Agency MSRs, coupled with normal portfolio runoff, that was accompanied by an even greater decline in expenses. For the quarter ended September 30, 2016, we made significant progress in our efforts to improve financial results and achieved a profitable quarter for the first time since the quarter ended June 30, 2015. Our servicing segment is also profitable for the first time this quarter since the quarter ended June 30, 2015.</w:t>
      </w:r>
    </w:p>
    <w:p>
      <w:pPr>
        <w:spacing w:after="0" w:line="18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order for us to be profitable over the long term, we will need to continue to reduce our expenses so that they remain appropriately aligned with our reduced revenue profile. Pursuant to the cost improvement initiative that we announced in 2015, we remain focused on continuing to reduce our servicing costs in line with our reduced residential servicing portfolio through productivity improvements and other expense reductions. Initiatives include further rationalization of our U.S. based headcount, where we expect further reductions as we shift activities to our lower cost off-shore locations, continuing reductions in servicing advance and receivable charge-offs as we simplify our operations and implement process improvements, continuing reductions in our reliance on third-party service providers for facilities management, technology infrastructure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92" w:right="239" w:bottom="1440" w:gutter="0" w:footer="0" w:header="0"/>
        </w:sectPr>
      </w:pPr>
    </w:p>
    <w:bookmarkStart w:id="53" w:name="page54"/>
    <w:bookmarkEnd w:id="53"/>
    <w:p>
      <w:pPr>
        <w:ind w:right="240"/>
        <w:spacing w:after="0" w:line="257" w:lineRule="auto"/>
        <w:rPr>
          <w:sz w:val="20"/>
          <w:szCs w:val="20"/>
          <w:color w:val="auto"/>
        </w:rPr>
      </w:pPr>
      <w:r>
        <w:rPr>
          <w:rFonts w:ascii="Arial" w:cs="Arial" w:eastAsia="Arial" w:hAnsi="Arial"/>
          <w:sz w:val="18"/>
          <w:szCs w:val="18"/>
          <w:color w:val="auto"/>
        </w:rPr>
        <w:t>management and support services and continuing optimization of our purchased services spend. Rightsizing our servicing operations lags the reductions in our servicing portfolio as workforce and servicing operations adjustments require time to implement properly. In addition, we take our commitments to enhancing the borrower experience, strengthening our risk and compliance infrastructure and delivering strong loss mitigation results very seriously and, accordingly, we continue to make appropriate investments in those important areas even as we continue to optimize our cost structure through productivity improvements and other initiatives.</w:t>
      </w:r>
    </w:p>
    <w:p>
      <w:pPr>
        <w:spacing w:after="0" w:line="8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are seeking to increase our revenue through growing our lending business by reinvesting cash flows generated by our servicing business in asset generation businesses - namely businesses where we can not only originate new loans profitably but also potentially retain the servicing rights as well as the customer relationship. We are investing in our forward lending business to build competitive advantages around processes and technology, and we believe the reverse mortgage business is a substantially under-developed market relative to its potential. We will continue to evaluate new adjacent market opportunities that are consistent with our strategic goals where we believe we can capture competitive advantages and achieve attractive returns for our shareholders. These would include sustainable new opportunities that align with long-term macro trends; opportunities that can contribute meaningfully to our long-term growth and return on equity; and, generally, businesses where we feel we can capture and maintain a long-term competitive advantage (e.g., advantages related to operating efficiencies, our cost of capital or our tax structure). We believe that our Automotive Capital Services (ACS) business has the potential to provide long-term growth to Ocwen and, accordingly, we are investing in this business in order to fuel its growth.</w:t>
      </w:r>
    </w:p>
    <w:p>
      <w:pPr>
        <w:spacing w:after="0" w:line="5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With respect to our servicing business, our recent regulatory settlements have significantly limited our ability to grow our servicing portfolio, which naturally decreases over time through portfolio runoff. In order to grow our servicing portfolio through acquisitions, we will need to satisfy the conditions set forth in our consent orders with the NY DFS and CA DBO. At this time, it is not clear that there is a significant market for non-Agency MSR acquisitions, even if we were to be given the requisite approvals from the NY DFS and CA DBO to resume those types of transactions. We would also need to determine that such acquisitions were an appropriate use of our available capital at such time. Nonetheless, we believe our significant investments in our servicing operations, risk and compliance infrastructure over recent years will position us favorably relative to our peers should such transactions become available and should the terms of such acquisitions be attractive to us.</w:t>
      </w:r>
    </w:p>
    <w:p>
      <w:pPr>
        <w:spacing w:after="0" w:line="70"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Our revenues in recent years have benefited from our participation in the Federal Government’s HAMP loan modification program and its Home Affordable Refinance Program (HARP) loan refinance program. HAMP is scheduled to expire on December 31, 2016, although, borrowers who have requested assistance or to whom an offer of assistance has been extended as of that date will have until September 30, 2017 to finalize their modification. HARP, which was scheduled to expire on December 31, 2016, has been extended to September 30, 2017. If neither of these programs is extended, we anticipate that our future revenues will be adversely affected even though we will continue to receive certain trailing fees under these programs, such as HAMP success fees to the extent that a borrower remains current in any agreed upon loan modification. HAMP fees accounted for $88.1 million, or 9% of total servicing segment revenues in the nine months ended September 30, 2016, and $135.0 million, or 8% of servicing segment revenues for the year ended December 31, 2015. We originated loans with a total UPB of approximately $114.9 million, or approximately 4% of total forward loan originations, through the HARP program during the nine months ended September 30, 2016, and we originated loans with a total UPB of approximately $786.0 million, or approximately 20% of total forward loan originations, through the HARP program for the year ended December 31, 2015.</w:t>
      </w:r>
    </w:p>
    <w:p>
      <w:pPr>
        <w:spacing w:after="0" w:line="6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business continues to be impacted by our recent regulatory settlements and the current regulatory environment. We have faced, and expect to continue to face, regulatory and public scrutiny as an organization as well as stricter and more comprehensive regulation of the entire mortgage sector. We continue to work diligently to assess the implications of the regulatory environment in which we operate and to meet the requirements of the current environment. We devote substantial resources to regulatory compliance, while, at the same time, striving to meet the needs and expectations of our customers, clients and other stakeholders. Our business, operating results and financial condition have been significantly impacted in recent periods by fees and settlements related to litigation and regulatory matters, including the costs of monitoring firms under our regulatory settlements. To the extent we are unable to avoid, mitigate or offset similar expenses in future periods, our business, operating results and financial condition will continue to be adversely affected, even if we are successful in our ongoing efforts to optimize our cost structure and grow our revenue through investment in our lending business and new business ventures such as ACS.</w:t>
      </w:r>
    </w:p>
    <w:p>
      <w:pPr>
        <w:spacing w:after="0" w:line="19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consolidated financial statements and the related notes thereto appearing elsewhere in this Quarterly Report on Form 10-Q and with our consolidated financial statements and notes thereto and management’s discussion and analysis of financial condition and results of operation appearing in our Annual Report on Form 10-K for the fiscal year ended December 31, 2015.</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692" w:right="2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Operations Summary</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920" w:type="dxa"/>
            <w:vAlign w:val="bottom"/>
            <w:gridSpan w:val="12"/>
          </w:tcPr>
          <w:p>
            <w:pPr>
              <w:ind w:left="340"/>
              <w:spacing w:after="0"/>
              <w:rPr>
                <w:sz w:val="20"/>
                <w:szCs w:val="20"/>
                <w:color w:val="auto"/>
              </w:rPr>
            </w:pPr>
            <w:r>
              <w:rPr>
                <w:rFonts w:ascii="Arial" w:cs="Arial" w:eastAsia="Arial" w:hAnsi="Arial"/>
                <w:sz w:val="18"/>
                <w:szCs w:val="18"/>
                <w:color w:val="auto"/>
                <w:w w:val="98"/>
              </w:rPr>
              <w:t>The following table presents summarized consolidated operating results for the periods ended September 30:</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302,235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360,017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906,993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1,203,541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25,645</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27,298</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69,074</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116,934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31,568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17,631</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87,192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58,166</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359,448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404,946</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1,063,259</w:t>
            </w:r>
          </w:p>
        </w:tc>
        <w:tc>
          <w:tcPr>
            <w:tcW w:w="10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2"/>
              </w:rPr>
              <w:t>1,378,641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1"/>
        </w:trPr>
        <w:tc>
          <w:tcPr>
            <w:tcW w:w="34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04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040" w:type="dxa"/>
            <w:vAlign w:val="bottom"/>
            <w:tcBorders>
              <w:bottom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271,678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387,726</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985,353</w:t>
            </w:r>
          </w:p>
        </w:tc>
        <w:tc>
          <w:tcPr>
            <w:tcW w:w="10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2"/>
              </w:rPr>
              <w:t>1,118,336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(110,961)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(118,313)</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(308,083)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(362,606)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6"/>
              </w:rPr>
              <w:t>Gain on sale of mortgage servicing rights,</w:t>
            </w:r>
          </w:p>
        </w:tc>
        <w:tc>
          <w:tcPr>
            <w:tcW w:w="3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8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net</w:t>
            </w:r>
          </w:p>
        </w:tc>
        <w:tc>
          <w:tcPr>
            <w:tcW w:w="3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5,661</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41,246</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7,689</w:t>
            </w:r>
          </w:p>
        </w:tc>
        <w:tc>
          <w:tcPr>
            <w:tcW w:w="100" w:type="dxa"/>
            <w:vAlign w:val="bottom"/>
            <w:tcBorders>
              <w:bottom w:val="single" w:sz="8" w:color="EAF9E8"/>
            </w:tcBorders>
            <w:shd w:val="clear" w:color="auto" w:fill="EAF9E8"/>
          </w:tcPr>
          <w:p>
            <w:pPr>
              <w:spacing w:after="0"/>
              <w:rPr>
                <w:sz w:val="20"/>
                <w:szCs w:val="20"/>
                <w:color w:val="auto"/>
              </w:rPr>
            </w:pPr>
          </w:p>
        </w:tc>
        <w:tc>
          <w:tcPr>
            <w:tcW w:w="48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97,958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19,894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3,929</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26,329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3,754</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(85,406)</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(73,138)</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(274,065)</w:t>
            </w:r>
          </w:p>
        </w:tc>
        <w:tc>
          <w:tcPr>
            <w:tcW w:w="10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(260,894)</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(55,918)</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(196,159)</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10,832</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21,866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9,474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(66,750)</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(188,945)</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(22,455)</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20" w:type="dxa"/>
            <w:vAlign w:val="bottom"/>
            <w:shd w:val="clear" w:color="auto" w:fill="EAF9E8"/>
          </w:tcPr>
          <w:p>
            <w:pPr>
              <w:ind w:left="180"/>
              <w:spacing w:after="0" w:line="205" w:lineRule="exact"/>
              <w:rPr>
                <w:sz w:val="20"/>
                <w:szCs w:val="20"/>
                <w:color w:val="auto"/>
              </w:rPr>
            </w:pPr>
            <w:r>
              <w:rPr>
                <w:rFonts w:ascii="Arial" w:cs="Arial" w:eastAsia="Arial" w:hAnsi="Arial"/>
                <w:sz w:val="18"/>
                <w:szCs w:val="18"/>
                <w:b w:val="1"/>
                <w:bCs w:val="1"/>
                <w:color w:val="auto"/>
                <w:w w:val="94"/>
              </w:rPr>
              <w:t>Net income (loss) attributable to Ocwen</w:t>
            </w:r>
          </w:p>
        </w:tc>
        <w:tc>
          <w:tcPr>
            <w:tcW w:w="300" w:type="dxa"/>
            <w:vAlign w:val="bottom"/>
            <w:vMerge w:val="restart"/>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9,391</w:t>
            </w:r>
          </w:p>
        </w:tc>
        <w:tc>
          <w:tcPr>
            <w:tcW w:w="120" w:type="dxa"/>
            <w:vAlign w:val="bottom"/>
            <w:shd w:val="clear" w:color="auto" w:fill="EAF9E8"/>
          </w:tcPr>
          <w:p>
            <w:pPr>
              <w:spacing w:after="0"/>
              <w:rPr>
                <w:sz w:val="17"/>
                <w:szCs w:val="17"/>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(66,869)</w:t>
            </w: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06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(189,318)</w:t>
            </w:r>
          </w:p>
        </w:tc>
        <w:tc>
          <w:tcPr>
            <w:tcW w:w="10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88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(22,776)</w:t>
            </w:r>
          </w:p>
        </w:tc>
        <w:tc>
          <w:tcPr>
            <w:tcW w:w="1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b w:val="1"/>
                <w:bCs w:val="1"/>
                <w:color w:val="auto"/>
              </w:rPr>
              <w:t>stockholders</w:t>
            </w: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020" w:type="dxa"/>
            <w:vAlign w:val="bottom"/>
            <w:tcBorders>
              <w:bottom w:val="single" w:sz="8" w:color="auto"/>
            </w:tcBorders>
            <w:vMerge w:val="continue"/>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040" w:type="dxa"/>
            <w:vAlign w:val="bottom"/>
            <w:tcBorders>
              <w:bottom w:val="single" w:sz="8" w:color="auto"/>
            </w:tcBorders>
            <w:vMerge w:val="continue"/>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shd w:val="clear" w:color="auto" w:fill="EAF9E8"/>
          </w:tcPr>
          <w:p>
            <w:pPr>
              <w:spacing w:after="0"/>
              <w:rPr>
                <w:sz w:val="20"/>
                <w:szCs w:val="20"/>
                <w:color w:val="auto"/>
              </w:rPr>
            </w:pPr>
          </w:p>
        </w:tc>
        <w:tc>
          <w:tcPr>
            <w:tcW w:w="106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480" w:type="dxa"/>
            <w:vAlign w:val="bottom"/>
            <w:tcBorders>
              <w:bottom w:val="single" w:sz="8" w:color="auto"/>
            </w:tcBorders>
            <w:shd w:val="clear" w:color="auto" w:fill="EAF9E8"/>
          </w:tcPr>
          <w:p>
            <w:pPr>
              <w:spacing w:after="0"/>
              <w:rPr>
                <w:sz w:val="20"/>
                <w:szCs w:val="20"/>
                <w:color w:val="auto"/>
              </w:rPr>
            </w:pPr>
          </w:p>
        </w:tc>
        <w:tc>
          <w:tcPr>
            <w:tcW w:w="880" w:type="dxa"/>
            <w:vAlign w:val="bottom"/>
            <w:tcBorders>
              <w:bottom w:val="single" w:sz="8" w:color="auto"/>
            </w:tcBorders>
            <w:vMerge w:val="continue"/>
            <w:shd w:val="clear" w:color="auto" w:fill="EAF9E8"/>
          </w:tcPr>
          <w:p>
            <w:pPr>
              <w:spacing w:after="0"/>
              <w:rPr>
                <w:sz w:val="20"/>
                <w:szCs w:val="20"/>
                <w:color w:val="auto"/>
              </w:rPr>
            </w:pP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w w:val="87"/>
              </w:rPr>
              <w:t>Segment income (loss) before income taxes:</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33,171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(49,794)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78,558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3,589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8,588</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13,122</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39,017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(51,764)</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(159,487)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(118,164)</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2,364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(55,918)</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(196,159)</w:t>
            </w:r>
          </w:p>
        </w:tc>
        <w:tc>
          <w:tcPr>
            <w:tcW w:w="10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auto"/>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versus 2015</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Servicing and subservicing fees for the third quarter of 2016 were $57.8 million, or 16%, lower than the third quarter of 2015, primarily as a result of executing on our strategy in 2015 to sell certain of our Agency MSRs and portfolio runoff. During the third quarter of 2016, we recognized net gains of $5.7 million in Other income on the sale of Agency and non-Agency MSRs relating to loans with a UPB of $3.3 billion. During the third quarter of 2015, we recognized $41.2 million in net gains on the sale of MSRs relating to loans with a UPB of $22.1 billion.</w:t>
      </w:r>
    </w:p>
    <w:p>
      <w:pPr>
        <w:spacing w:after="0" w:line="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Gains on loans held for sale for the third quarter of 2016 were $1.7 million, or 6%, lower than the third quarter of 2015. Gains from our lending operations decreased $4.2 million primarily due to volume declines in the forward lending retail and correspondent channels, in part due to the sale of our Agency MSRs, which reduces recapture (our ability to convert borrowers in our current servicing portfolio into newly originated loans), and lower margins in all forward lending channels. This was partially offset by higher volume in the forward lending wholesale channel and higher volume in reverse lending. In our Servicing business, gains on sales of loans increased by $1.7 million.</w:t>
      </w:r>
    </w:p>
    <w:p>
      <w:pPr>
        <w:spacing w:after="0" w:line="80"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Expenses were $116.0 million, or 30%, lower in the third quarter of 2016 as compared to the third quarter of 2015. Excluding MSR amortization and valuation adjustments and monitor expenses, expenses were $52.4 million, or 17%, lower in the third quarter of 2016 as compared to the third quarter of 2015. This decline reflects our progress implementing cost</w:t>
      </w:r>
    </w:p>
    <w:p>
      <w:pPr>
        <w:sectPr>
          <w:pgSz w:w="11900" w:h="16838" w:orient="portrait"/>
          <w:cols w:equalWidth="0" w:num="1">
            <w:col w:w="11420"/>
          </w:cols>
          <w:pgMar w:left="240" w:top="688"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688" w:right="239" w:bottom="1440" w:gutter="0" w:footer="0" w:header="0"/>
          <w:type w:val="continuous"/>
        </w:sectPr>
      </w:pPr>
    </w:p>
    <w:bookmarkStart w:id="55" w:name="page56"/>
    <w:bookmarkEnd w:id="55"/>
    <w:p>
      <w:pPr>
        <w:ind w:right="40"/>
        <w:spacing w:after="0" w:line="269" w:lineRule="auto"/>
        <w:rPr>
          <w:sz w:val="20"/>
          <w:szCs w:val="20"/>
          <w:color w:val="auto"/>
        </w:rPr>
      </w:pPr>
      <w:r>
        <w:rPr>
          <w:rFonts w:ascii="Arial" w:cs="Arial" w:eastAsia="Arial" w:hAnsi="Arial"/>
          <w:sz w:val="17"/>
          <w:szCs w:val="17"/>
          <w:color w:val="auto"/>
        </w:rPr>
        <w:t>improvement initiatives. Compensation and benefits expense declined as average headcount declined by 8%, including a 12% reduction in U.S.-based headcount, principally in our Servicing business where headcount declined by 12%, including a 30% reduction in the U.S. Technology and communications expense declined 30% primarily as a consequence of our decision to reduce our dependence on third-party service providers and bring a greater proportion of our technology services in-house. However, the decline in Technology and communications expense was offset in large part by an increase in technology-related Compensation and benefits expense. Occupancy and equipment expense declined by 46%, largely because of the effect of the decline in the size of the servicing portfolio on various expenses, particularly postage and other delivery services, and the effect of the declines in headcount. Professional services expense was $3.1 million, or 5%, higher in the third quarter of 2016 as compared to the third quarter of 2015. Professional services expense for the third quarter of 2016 includes a $10.0 million charge to increase the $15.0 million accrual we established as of June 30, 2016 in connection with our discussions with the CA DBO regarding the possibility of resolving certain matters relating to OLS’ servicing practices and early termination of the CA DBO Consent Order, which would also terminate the CA Auditor engagement. Other expenses declined largely because the third quarter of 2015 included $11.9 million of costs to maintain and exit the legacy Residential Capital, LLC (ResCap) servicing platform and because of a $9.7 million decline in the provision for indemnification obligations.</w:t>
      </w:r>
    </w:p>
    <w:p>
      <w:pPr>
        <w:spacing w:after="0" w:line="18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MSR amortization and valuation adjustments and monitor expenses decreased $63.7 million. MSR amortization and valuation adjustments (including both fair value adjustments and impairment charges), decreased $66.2 million principally due to a decrease in impairment charges related to our government insured MSRs and the effects of portfolio runoff and MSR sales. Monitor expenses increased $2.6 million as compared to the third quarter of 2015 primarily as a result of costs related to the CA Auditor. However, monitor expenses have been declining during 2016 from a peak of $30.0 million in the first quarter to $28.1 million in the second quarter and to $15.1 million during the third quarter.</w:t>
      </w:r>
    </w:p>
    <w:p>
      <w:pPr>
        <w:spacing w:after="0" w:line="18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Interest expense for the third quarter of 2016 declined $7.4 million, or 6%, as compared to the third quarter of 2015 primarily as a result of lower SSTL borrowings as a result of principal prepayments, including both voluntary prepayments and required prepayments from proceeds of sales of MSRs, principally during 2015.</w:t>
      </w:r>
    </w:p>
    <w:p>
      <w:pPr>
        <w:spacing w:after="0" w:line="73"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Other income for the third quarter of 2016 includes $12.8 million received in connection with the execution of clean-up call rights related to four small-balance commercial mortgage securitization trusts. This income relates to the value of the underlying collateral held by the trusts, including amounts on deposit in spread accounts (cash collateral). We also recognized a $2.5 million loss on the sale of the commercial loans purchased as part of the transaction, which we reported in Gain on loans held for sale, net. See Note 8 – Mortgage Servicing for additional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versus 2015</w:t>
      </w:r>
    </w:p>
    <w:p>
      <w:pPr>
        <w:spacing w:after="0" w:line="11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Servicing and subservicing fees declined $296.5 million, or 25%, in the nine months ended September 30, 2016 as compared to the same period of 2015. This decline is primarily due to sales of Agency MSRs in 2015, portfolio runoff and a lower modification volume. We recognized $98.0 million of net gains on sales of MSRs during the nine months ended September 30, 2015 relating to loans with a UPB of $86.4 billion.</w:t>
      </w:r>
    </w:p>
    <w:p>
      <w:pPr>
        <w:spacing w:after="0" w:line="57"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Gains on loans held for sale for the nine months ended September 30, 2016 declined $47.9 million, or 41%, as compared to the nine months ended September 30, 2015. Gains from our lending operations decreased $26.0 million primarily due to the overall decline in reverse lending origination volume, volume declines in the forward lending retail and correspondent channels, in part due to the sale of our Agency MSRs, and lower margins in all forward lending channels. This was partially offset by higher volume in the forward lending wholesale channel. In our servicing business, gains on sales of loans declined by $22.1 million.</w:t>
      </w:r>
    </w:p>
    <w:p>
      <w:pPr>
        <w:spacing w:after="0" w:line="8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Expenses for the nine months ended September 30, 2016 were $133.0 million, or 12%, lower than the same period in 2015. Excluding MSR amortization and valuation adjustments and monitor expenses, expenses for the nine months ended September 30, 2016 were $111.3 million, or 12%, lower than the same period a year ago, reflecting our progress to date implementing cost improvement initiatives. A decline of 9% in average headcount, including a 12% decline in US headcount, driven by a 15% reduction in average headcount of our Servicing business, including a 30% decline in U.S.-based headcount, resulted in lower Compensation and benefits expense. The decline in Technology and communications expense was somewhat offset by an increase in technology-related Compensation and benefits expense, as noted above. The decline in the size of the servicing portfolio and headcount resulted in lower Occupancy and equipment expense. Professional services expense for the nine months ended September 30, 2016 was $66.1 million, or 34%, higher than the nine months ended September 30, 2015. Professional services expense for the 2016 year to date period includes a $30.0 million charge in the second quarter to establish an accrual in connection with the settlement in principle of the Fisher Cases. We also accrued $25.0 million in connection with our discussions with the CA DBO regarding the possibility of resolving certain matters relating to OLS’ servicing practices and early termination of the CA DBO Consent Order, which would also terminate the CA Auditor engagement. Professional services expense for the nine months ended September 30, 2015 includes $24.9 million of financial and legal advisory fees incurred in connection with evaluating adjustments to our capital structure and exploring other strategic options. Other expenses declined primarily due to $18.3 million of costs incurred during the nine months ended September 30, 2015 to</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9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maintain and exit the legacy ResCap servicing platform and because of a $10.1 million decline in the provision for indemnification obligations.</w:t>
      </w:r>
    </w:p>
    <w:p>
      <w:pPr>
        <w:spacing w:after="0" w:line="117"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MSR amortization and valuation adjustments and monitor expenses decreased $21.7 million. MSR amortization and valuation adjustments (including both fair value adjustments and impairment charges) decreased $67.1 million due to the effects of portfolio runoff and MSR sales which were offset by an increase in impairment charges related to our government insured MSRs. Monitor expenses for the nine months ended September 30, 2016 were $45.5 million higher than the same period last year, primarily as a result of costs related to the CA Auditor.</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for the nine months ended September 30, 2016 decreased $54.5 million, or 15%, as compared to the same period of 2015 primarily due to declines in the value of the NRZ financing liability and to lower SSTL borrowings as a result of principal prepayments, including voluntary and required prepayments from proceeds of sales of MSR, primarily during 2015.</w:t>
      </w:r>
    </w:p>
    <w:p>
      <w:pPr>
        <w:spacing w:after="0" w:line="73"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Although we incurred a pre-tax loss of $196.2 million for the nine months ended September 30, 2016, we recorded an income tax benefit of only $7.2 million, or 4%, because the tax benefit recorded on the pre-tax loss is reduced by additional valuation allowance. In addition, the mix of earnings among different tax jurisdictions with different statutory tax rates impacts the amount of the tax benefit or expense recorded. Finally, we recognized income tax expense related to uncertain tax positions. The overall effective tax rate for the nine months ended September 30, 2016 has changed significantly from the effective tax rate at December 31, 2015 because we recorded a full valuation allowance on our net deferred tax assets during the fourth quarter of 2015.</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80"/>
          </w:cols>
          <w:pgMar w:left="240" w:top="692" w:right="3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Financial Condition Summary</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7320" w:type="dxa"/>
            <w:vAlign w:val="bottom"/>
          </w:tcPr>
          <w:p>
            <w:pPr>
              <w:ind w:left="340"/>
              <w:spacing w:after="0"/>
              <w:rPr>
                <w:sz w:val="20"/>
                <w:szCs w:val="20"/>
                <w:color w:val="auto"/>
              </w:rPr>
            </w:pPr>
            <w:r>
              <w:rPr>
                <w:rFonts w:ascii="Arial" w:cs="Arial" w:eastAsia="Arial" w:hAnsi="Arial"/>
                <w:sz w:val="18"/>
                <w:szCs w:val="18"/>
                <w:color w:val="auto"/>
                <w:w w:val="90"/>
              </w:rPr>
              <w:t>The following table presents summarized consolidated balance sheet data at the dates indicated.</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73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263,534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257,272</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1,036,669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1,138,569</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advances</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1,823,336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339,765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414,046</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 - Reverse mortgages,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3,339,641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782,505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931,102</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73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r>
      <w:tr>
        <w:trPr>
          <w:trHeight w:val="257"/>
        </w:trPr>
        <w:tc>
          <w:tcPr>
            <w:tcW w:w="73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7,585,450</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1"/>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assets by segment:</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3,455,598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4,089,064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3,662,316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2,811,154</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30</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467,536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480,090</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73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r>
      <w:tr>
        <w:trPr>
          <w:trHeight w:val="257"/>
        </w:trPr>
        <w:tc>
          <w:tcPr>
            <w:tcW w:w="73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7,585,450</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1"/>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1,365,532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1,584,049</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3,828,019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3,089,255</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24</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663,170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762,411</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346,511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345,511</w:t>
            </w:r>
          </w:p>
        </w:tc>
        <w:tc>
          <w:tcPr>
            <w:tcW w:w="1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718,831</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744,444</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r>
      <w:tr>
        <w:trPr>
          <w:trHeight w:val="297"/>
        </w:trPr>
        <w:tc>
          <w:tcPr>
            <w:tcW w:w="732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6,922,063</w:t>
            </w:r>
          </w:p>
        </w:tc>
        <w:tc>
          <w:tcPr>
            <w:tcW w:w="10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6,525,670</w:t>
            </w:r>
          </w:p>
        </w:tc>
        <w:tc>
          <w:tcPr>
            <w:tcW w:w="12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6 %</w:t>
            </w:r>
          </w:p>
        </w:tc>
      </w:tr>
      <w:tr>
        <w:trPr>
          <w:trHeight w:val="311"/>
        </w:trPr>
        <w:tc>
          <w:tcPr>
            <w:tcW w:w="73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Total liabilities by segment:</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2,796,907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3,417,727</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Lending</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3,578,020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2,751,667</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30</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3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1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547,136</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356,276</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54</w:t>
            </w:r>
          </w:p>
        </w:tc>
      </w:tr>
      <w:tr>
        <w:trPr>
          <w:trHeight w:val="297"/>
        </w:trPr>
        <w:tc>
          <w:tcPr>
            <w:tcW w:w="73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6,922,063</w:t>
            </w:r>
          </w:p>
        </w:tc>
        <w:tc>
          <w:tcPr>
            <w:tcW w:w="10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6,525,670</w:t>
            </w:r>
          </w:p>
        </w:tc>
        <w:tc>
          <w:tcPr>
            <w:tcW w:w="12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6 %</w:t>
            </w:r>
          </w:p>
        </w:tc>
      </w:tr>
      <w:tr>
        <w:trPr>
          <w:trHeight w:val="311"/>
        </w:trPr>
        <w:tc>
          <w:tcPr>
            <w:tcW w:w="73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64"/>
        </w:trPr>
        <w:tc>
          <w:tcPr>
            <w:tcW w:w="73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663,387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854,638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Changes in the composition and balance of our assets and liabilities during the nine months ended September 30, 2016 are principally attributable to Loans held for investment and Financing liabilities which increased as a result of our reverse mortgage securitizations accounted for as secured financings. Match funded liabilities declined consistent with lower advances and match funded advances on a declining servicing portfolio. Total equity declined as a result of the net loss we incurred for the nine months ended September 30, 2016 and our repurchase of 991,985 shares of Ocwen’s common stock during the first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activities are organized into two reportable business segments that reflect our primary lines of business - Servicing, Lending, and a Corporate Items and Other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Our Servicing business is primarily comprised of our core residential mortgage servicing business and currently accounts for the majority of our total revenues. Our servicing clients include some of the largest financial institutions in the U.S., including Fannie Mae, Freddie Mac and Ginnie Mae, and non-Agency residential mortgage-backed securities (RMBS) trusts.</w:t>
      </w:r>
    </w:p>
    <w:p>
      <w:pPr>
        <w:sectPr>
          <w:pgSz w:w="11900" w:h="16838" w:orient="portrait"/>
          <w:cols w:equalWidth="0" w:num="1">
            <w:col w:w="11420"/>
          </w:cols>
          <w:pgMar w:left="240" w:top="688"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688" w:right="239" w:bottom="1440" w:gutter="0" w:footer="0" w:header="0"/>
          <w:type w:val="continuous"/>
        </w:sectPr>
      </w:pPr>
    </w:p>
    <w:bookmarkStart w:id="58" w:name="page59"/>
    <w:bookmarkEnd w:id="58"/>
    <w:p>
      <w:pPr>
        <w:ind w:right="120" w:firstLine="324"/>
        <w:spacing w:after="0" w:line="272" w:lineRule="auto"/>
        <w:rPr>
          <w:sz w:val="20"/>
          <w:szCs w:val="20"/>
          <w:color w:val="auto"/>
        </w:rPr>
      </w:pPr>
      <w:r>
        <w:rPr>
          <w:rFonts w:ascii="Arial" w:cs="Arial" w:eastAsia="Arial" w:hAnsi="Arial"/>
          <w:sz w:val="17"/>
          <w:szCs w:val="17"/>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which includes making servicing advances, evaluating loans for modification and other loss mitigation activities and, if necessary, foreclosure referrals and the sale of the underlying property following foreclosure (real estate owned or REO) on behalf of investors or other servicers. Master servicing involves primary servicing oversight, the collection of payments from servicers and the distribution of funds to investors in mortgage and asset-backed securities (or to their respective trustee or administrator) and, in some cases, making servicing advances. We earn contractual monthly servicing fees (which are typically calculated as a percentage of UPB) as well as other ancillary fees in connection with our servicing activities.</w:t>
      </w:r>
    </w:p>
    <w:p>
      <w:pPr>
        <w:spacing w:after="0" w:line="17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also earn fees under both subservicing and special servicing arrangements with banks and other institutions that own the MSRs. The owners of MSRs may choose to hire Ocwen as a subservicer or special servicer instead of servicing the MSRs themselves for a variety of reasons, including not having a servicing platform or not having the necessary capacity or expertise to service some or all of their MSRs. In a subservicing context, where Ocwen does not own the MSRs, we may be engaged to perform all of the servicing functions previously described or it could be a limited engagement (e.g., subservicing only non-performing mortgage loans). As a subservicer, we may be obligated to make servicing advances, though most subservicing agreements provide for more rapid reimbursement of any advances from the owner of the servicing rights than if we were the servicer. Special servicing engagements typically involve portfolios of delinquent or defaulted mortgage loans, which require more specialized work than better-performing mortgage loans and may involve one or more loss mitigation strategies or taking properties through the foreclosure process. We typically earn subservicing and special servicing fees either as a percentage of UPB or on a per loan basis.</w:t>
      </w:r>
    </w:p>
    <w:p>
      <w:pPr>
        <w:spacing w:after="0" w:line="18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Servicing advances are amounts that we, as servicer, are required to advance to or on behalf of our servicing clients if we do not receive such amounts from borrowers. These amounts include principal and interest payments, property taxes and insurance premiums and amounts to maintain, repair and market real estate properties on behalf of our servicing clients. Most of our advances have the highest reimbursement priority and are “top of the waterfall” so that we are entitled to repayment from respective loan or REO liquidation proceeds before most other claims on these proceeds, and in the majority of cases, advances in excess of respective loan or REO liquidation proceeds may be recovered from pool level proceeds. The costs incurred in meeting these obligations consist principally of the interest expense incurred in financing the servicing advances and the costs of arranging such financing.</w:t>
      </w:r>
    </w:p>
    <w:p>
      <w:pPr>
        <w:spacing w:after="0" w:line="16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Reducing delinquencies is important to our business because it enables us to recover advances and recognize additional ancillary income, such as late fees, which we do not recognize on delinquent loans until they are brought current. Performing loans also require less work and are thus generally less costly to service. While increasing borrower participation in loan modification programs is a critical component of our ability to reduce delinquencies, assisting those borrowers in remaining current is also an important factor.</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recognize servicing fees as revenue when the fees are earned, which is generally when the borrower makes a payment or when a delinquent loan is resolved through modification, repayment plan, payoff or, if there are no allowable solutions that would permit the borrower to stay in their home, through the sale of the underlying mortgaged property following foreclosure. Therefore, our revenue recognition is generally a function of UPB, the number of payments received and delinquent or defaulted loans that resolve.</w:t>
      </w:r>
    </w:p>
    <w:p>
      <w:pPr>
        <w:spacing w:after="0" w:line="18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Similar to other servicers, we are the subject of mortgage servicer ratings or rankings (collectively, ratings) issued and revised from time to time by rating agencies including Moody’s Investors Services, Inc. (Moody’s), Morningstar, Inc. (Morningstar), Standard &amp; Poor’s Rating Services (S&amp;P) and Fitch Ratings Inc. (Fitch). Favorable ratings from these agencies are important to the conduct of our loan servicing and lending businesses.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92" w:right="2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color w:val="auto"/>
        </w:rPr>
        <w:t>The following table summarizes our key ratings by these rating agencies: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Moody’s</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Morningstar</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S&amp;P</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Residential Prime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MOR RS3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RPS3-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Residential Subprime Servicer</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MOR RS3</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Residential Special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MOR RS3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RSS3-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Residential Home Equity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RPS3-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Residential Alt A Servicer</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Master Servicing</w:t>
            </w:r>
          </w:p>
        </w:tc>
        <w:tc>
          <w:tcPr>
            <w:tcW w:w="18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SQ3</w:t>
            </w:r>
          </w:p>
        </w:tc>
        <w:tc>
          <w:tcPr>
            <w:tcW w:w="182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6"/>
              </w:rPr>
              <w:t>RMS3-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Ratings Outlook</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Negative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324"/>
        </w:trPr>
        <w:tc>
          <w:tcPr>
            <w:tcW w:w="4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700" w:type="dxa"/>
            <w:vAlign w:val="bottom"/>
            <w:shd w:val="clear" w:color="auto" w:fill="EAF9E8"/>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Date of last action</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8, 2015</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6, 2015</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August 9, 2016</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9, 2016</w:t>
            </w:r>
          </w:p>
        </w:tc>
      </w:tr>
    </w:tbl>
    <w:p>
      <w:pPr>
        <w:spacing w:after="0" w:line="12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S&amp;P upgraded our servicer ratings from “Below Average” to “Average” on August 9, 2016. Among the reasons cited by S&amp;P for its upgrade were strengthened first and second lines of defense in risk management; good management and staff experience levels; manageable staff and management turnover rates; and investment in and continued strengthening of staffing, technology and processes in the internal control environment.</w:t>
      </w:r>
    </w:p>
    <w:p>
      <w:pPr>
        <w:spacing w:after="0" w:line="16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addition to servicer ratings, each of the rating agencies will from time to time assign an outlook to the rating status of a mortgage servicer. A negative outlook is generally used to indicate that a rating “may be lowered,” while a positive outlook is generally used to indicate a rating “may be raised.” While S&amp;P’s servicer ratings outlook for Ocwen is stable in general, its outlook for master servicing is positive.</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Failure to maintain minimum servicer ratings could adversely affect our ability to sell or fund servicing advances going forward, could affect the terms or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92" w:right="239" w:bottom="1440" w:gutter="0" w:footer="0" w:header="0"/>
        </w:sectPr>
      </w:pPr>
    </w:p>
    <w:bookmarkStart w:id="60" w:name="page61"/>
    <w:bookmarkEnd w:id="60"/>
    <w:p>
      <w:pPr>
        <w:ind w:right="42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for the periods ended September 30. The amounts presented are before the elimination of balances and transactions with our other segments: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8"/>
              </w:rPr>
              <w:t>Three Months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Nine Months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Residential</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300,018</w:t>
            </w:r>
          </w:p>
        </w:tc>
        <w:tc>
          <w:tcPr>
            <w:tcW w:w="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357,439</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900,848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1,195,512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2,183</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7,506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3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44"/>
        </w:trPr>
        <w:tc>
          <w:tcPr>
            <w:tcW w:w="32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302,328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359,622</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907,368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1,203,018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4,217</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11,906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34,008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(65)</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2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revenues</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10,809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11,097</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32,453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32,243</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r>
      <w:tr>
        <w:trPr>
          <w:trHeight w:val="237"/>
        </w:trPr>
        <w:tc>
          <w:tcPr>
            <w:tcW w:w="320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319,080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374,936</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951,727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1,269,269</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r>
      <w:tr>
        <w:trPr>
          <w:trHeight w:val="27"/>
        </w:trPr>
        <w:tc>
          <w:tcPr>
            <w:tcW w:w="3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2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41,904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56,926</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134,652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180,891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Amortization of mortgage servicing</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200" w:type="dxa"/>
            <w:vAlign w:val="bottom"/>
          </w:tcPr>
          <w:p>
            <w:pPr>
              <w:ind w:left="340"/>
              <w:spacing w:after="0"/>
              <w:rPr>
                <w:sz w:val="20"/>
                <w:szCs w:val="20"/>
                <w:color w:val="auto"/>
              </w:rPr>
            </w:pPr>
            <w:r>
              <w:rPr>
                <w:rFonts w:ascii="Arial" w:cs="Arial" w:eastAsia="Arial" w:hAnsi="Arial"/>
                <w:sz w:val="18"/>
                <w:szCs w:val="18"/>
                <w:color w:val="auto"/>
              </w:rPr>
              <w:t>rights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18,023</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87,926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(79)</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57,440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98,955</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229,320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248,470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14,314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23,166</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42,977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71,786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(40)</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22,754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31,173</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92,142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92,885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11,868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22,958</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46,582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64,784</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58,788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67,238</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177,673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194,022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r>
      <w:tr>
        <w:trPr>
          <w:trHeight w:val="237"/>
        </w:trPr>
        <w:tc>
          <w:tcPr>
            <w:tcW w:w="320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204,434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318,439</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741,706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940,764</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3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2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1,175</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3,232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(103)</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(109,357)</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(278,808)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(336,088)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32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Gain on sale of mortgage servicing</w:t>
            </w: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r>
      <w:tr>
        <w:trPr>
          <w:trHeight w:val="237"/>
        </w:trPr>
        <w:tc>
          <w:tcPr>
            <w:tcW w:w="32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rights, net</w:t>
            </w: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5,661</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41,246</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7,689</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97,958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(92)</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13,943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(2,303)</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11,406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(15,049)</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(176)</w:t>
            </w:r>
          </w:p>
        </w:tc>
      </w:tr>
      <w:tr>
        <w:trPr>
          <w:trHeight w:val="27"/>
        </w:trPr>
        <w:tc>
          <w:tcPr>
            <w:tcW w:w="3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2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(81,475)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(69,239)</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(259,815)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(249,947)</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w:t>
            </w:r>
          </w:p>
        </w:tc>
      </w:tr>
      <w:tr>
        <w:trPr>
          <w:trHeight w:val="264"/>
        </w:trPr>
        <w:tc>
          <w:tcPr>
            <w:tcW w:w="32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4"/>
        </w:trPr>
        <w:tc>
          <w:tcPr>
            <w:tcW w:w="320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33,171</w:t>
            </w:r>
          </w:p>
        </w:tc>
        <w:tc>
          <w:tcPr>
            <w:tcW w:w="4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(12,742)</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(49,794)</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78,558</w:t>
            </w:r>
          </w:p>
        </w:tc>
        <w:tc>
          <w:tcPr>
            <w:tcW w:w="1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32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r>
      <w:tr>
        <w:trPr>
          <w:trHeight w:val="446"/>
        </w:trPr>
        <w:tc>
          <w:tcPr>
            <w:tcW w:w="3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color w:val="auto"/>
        </w:rPr>
        <w:t>The following tables provide selected operating statistics at or for the three months ended September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 Change</w:t>
            </w:r>
          </w:p>
        </w:tc>
      </w:tr>
      <w:tr>
        <w:trPr>
          <w:trHeight w:val="27"/>
        </w:trPr>
        <w:tc>
          <w:tcPr>
            <w:tcW w:w="296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Unpaid principal balance (UPB):</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3"/>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w w:val="93"/>
              </w:rPr>
              <w:t>192,260,993</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89"/>
              </w:rPr>
              <w:t>250,488,153</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w w:val="88"/>
              </w:rPr>
              <w:t>20,213,008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99"/>
              </w:rPr>
              <w:t>31,494,566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74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4,418,001</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6,086,430</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r>
      <w:tr>
        <w:trPr>
          <w:trHeight w:val="297"/>
        </w:trPr>
        <w:tc>
          <w:tcPr>
            <w:tcW w:w="296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(2)</w:t>
            </w:r>
          </w:p>
        </w:tc>
        <w:tc>
          <w:tcPr>
            <w:tcW w:w="280" w:type="dxa"/>
            <w:vAlign w:val="bottom"/>
            <w:tcBorders>
              <w:bottom w:val="single" w:sz="8" w:color="EAF9E8"/>
            </w:tcBorders>
          </w:tcPr>
          <w:p>
            <w:pPr>
              <w:spacing w:after="0"/>
              <w:rPr>
                <w:sz w:val="24"/>
                <w:szCs w:val="24"/>
                <w:color w:val="auto"/>
              </w:rPr>
            </w:pPr>
          </w:p>
        </w:tc>
        <w:tc>
          <w:tcPr>
            <w:tcW w:w="118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EAF9E8"/>
            </w:tcBorders>
          </w:tcPr>
          <w:p>
            <w:pPr>
              <w:spacing w:after="0"/>
              <w:rPr>
                <w:sz w:val="24"/>
                <w:szCs w:val="24"/>
                <w:color w:val="auto"/>
              </w:rPr>
            </w:pPr>
          </w:p>
        </w:tc>
        <w:tc>
          <w:tcPr>
            <w:tcW w:w="1180" w:type="dxa"/>
            <w:vAlign w:val="bottom"/>
            <w:tcBorders>
              <w:bottom w:val="single" w:sz="8" w:color="EAF9E8"/>
            </w:tcBorders>
          </w:tcPr>
          <w:p>
            <w:pPr>
              <w:spacing w:after="0"/>
              <w:rPr>
                <w:sz w:val="24"/>
                <w:szCs w:val="24"/>
                <w:color w:val="auto"/>
              </w:rPr>
            </w:pPr>
          </w:p>
        </w:tc>
        <w:tc>
          <w:tcPr>
            <w:tcW w:w="840" w:type="dxa"/>
            <w:vAlign w:val="bottom"/>
            <w:tcBorders>
              <w:bottom w:val="single" w:sz="8" w:color="EAF9E8"/>
            </w:tcBorders>
            <w:gridSpan w:val="2"/>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3"/>
              </w:rPr>
              <w:t>216,892,002</w:t>
            </w:r>
          </w:p>
        </w:tc>
        <w:tc>
          <w:tcPr>
            <w:tcW w:w="10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288,069,149</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(25)%</w:t>
            </w:r>
          </w:p>
        </w:tc>
      </w:tr>
      <w:tr>
        <w:trPr>
          <w:trHeight w:val="284"/>
        </w:trPr>
        <w:tc>
          <w:tcPr>
            <w:tcW w:w="296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Conventional loans (3)</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w w:val="88"/>
              </w:rPr>
              <w:t>63,898,483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89"/>
              </w:rPr>
              <w:t>105,211,950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Government-insured loans</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88"/>
              </w:rPr>
              <w:t>23,722,156</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33,364,802</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Non-Agency loans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129,271,363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89"/>
              </w:rPr>
              <w:t>149,492,397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296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57"/>
        </w:trPr>
        <w:tc>
          <w:tcPr>
            <w:tcW w:w="29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EAF9E8"/>
          </w:tcPr>
          <w:p>
            <w:pPr>
              <w:spacing w:after="0"/>
              <w:rPr>
                <w:sz w:val="22"/>
                <w:szCs w:val="22"/>
                <w:color w:val="auto"/>
              </w:rPr>
            </w:pPr>
          </w:p>
        </w:tc>
        <w:tc>
          <w:tcPr>
            <w:tcW w:w="1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80" w:type="dxa"/>
            <w:vAlign w:val="bottom"/>
            <w:shd w:val="clear" w:color="auto" w:fill="EAF9E8"/>
          </w:tcPr>
          <w:p>
            <w:pPr>
              <w:spacing w:after="0"/>
              <w:rPr>
                <w:sz w:val="22"/>
                <w:szCs w:val="22"/>
                <w:color w:val="auto"/>
              </w:rPr>
            </w:pPr>
          </w:p>
        </w:tc>
        <w:tc>
          <w:tcPr>
            <w:tcW w:w="1180" w:type="dxa"/>
            <w:vAlign w:val="bottom"/>
            <w:shd w:val="clear" w:color="auto" w:fill="EAF9E8"/>
          </w:tcPr>
          <w:p>
            <w:pPr>
              <w:spacing w:after="0"/>
              <w:rPr>
                <w:sz w:val="22"/>
                <w:szCs w:val="22"/>
                <w:color w:val="auto"/>
              </w:rPr>
            </w:pPr>
          </w:p>
        </w:tc>
        <w:tc>
          <w:tcPr>
            <w:tcW w:w="1140" w:type="dxa"/>
            <w:vAlign w:val="bottom"/>
            <w:gridSpan w:val="3"/>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2"/>
                <w:szCs w:val="22"/>
                <w:color w:val="auto"/>
              </w:rPr>
            </w:pPr>
          </w:p>
        </w:tc>
        <w:tc>
          <w:tcPr>
            <w:tcW w:w="116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w w:val="93"/>
              </w:rPr>
              <w:t>216,892,002</w:t>
            </w:r>
          </w:p>
        </w:tc>
        <w:tc>
          <w:tcPr>
            <w:tcW w:w="100" w:type="dxa"/>
            <w:vAlign w:val="bottom"/>
            <w:shd w:val="clear" w:color="auto" w:fill="EAF9E8"/>
          </w:tcPr>
          <w:p>
            <w:pPr>
              <w:spacing w:after="0"/>
              <w:rPr>
                <w:sz w:val="22"/>
                <w:szCs w:val="22"/>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1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89"/>
              </w:rPr>
              <w:t>288,069,149</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96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74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r>
      <w:tr>
        <w:trPr>
          <w:trHeight w:val="284"/>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2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Percent of total UPB:</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portfolio</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(71)</w:t>
            </w: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Non-performing assets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296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Count:</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1,313,600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1,644,707</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100,710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158,626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(37)</w:t>
            </w: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74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23,357</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31,612</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r>
      <w:tr>
        <w:trPr>
          <w:trHeight w:val="297"/>
        </w:trPr>
        <w:tc>
          <w:tcPr>
            <w:tcW w:w="296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(2)</w:t>
            </w:r>
          </w:p>
        </w:tc>
        <w:tc>
          <w:tcPr>
            <w:tcW w:w="280" w:type="dxa"/>
            <w:vAlign w:val="bottom"/>
            <w:tcBorders>
              <w:bottom w:val="single" w:sz="8" w:color="EAF9E8"/>
            </w:tcBorders>
          </w:tcPr>
          <w:p>
            <w:pPr>
              <w:spacing w:after="0"/>
              <w:rPr>
                <w:sz w:val="24"/>
                <w:szCs w:val="24"/>
                <w:color w:val="auto"/>
              </w:rPr>
            </w:pPr>
          </w:p>
        </w:tc>
        <w:tc>
          <w:tcPr>
            <w:tcW w:w="118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EAF9E8"/>
            </w:tcBorders>
          </w:tcPr>
          <w:p>
            <w:pPr>
              <w:spacing w:after="0"/>
              <w:rPr>
                <w:sz w:val="24"/>
                <w:szCs w:val="24"/>
                <w:color w:val="auto"/>
              </w:rPr>
            </w:pPr>
          </w:p>
        </w:tc>
        <w:tc>
          <w:tcPr>
            <w:tcW w:w="118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74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1,437,667</w:t>
            </w:r>
          </w:p>
        </w:tc>
        <w:tc>
          <w:tcPr>
            <w:tcW w:w="10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1,834,945</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(22)%</w:t>
            </w:r>
          </w:p>
        </w:tc>
      </w:tr>
      <w:tr>
        <w:trPr>
          <w:trHeight w:val="284"/>
        </w:trPr>
        <w:tc>
          <w:tcPr>
            <w:tcW w:w="296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Conventional loans (3)</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369,555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585,744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Government-insured loans</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173,235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234,097</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Non-Agency loans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894,877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1,015,104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296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57"/>
        </w:trPr>
        <w:tc>
          <w:tcPr>
            <w:tcW w:w="2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74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00" w:type="dxa"/>
            <w:vAlign w:val="bottom"/>
            <w:tcBorders>
              <w:bottom w:val="single" w:sz="8" w:color="auto"/>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spacing w:after="0"/>
              <w:rPr>
                <w:sz w:val="22"/>
                <w:szCs w:val="22"/>
                <w:color w:val="auto"/>
              </w:rPr>
            </w:pPr>
          </w:p>
        </w:tc>
        <w:tc>
          <w:tcPr>
            <w:tcW w:w="10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1,437,667</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spacing w:after="0"/>
              <w:rPr>
                <w:sz w:val="22"/>
                <w:szCs w:val="22"/>
                <w:color w:val="auto"/>
              </w:rPr>
            </w:pPr>
          </w:p>
        </w:tc>
        <w:tc>
          <w:tcPr>
            <w:tcW w:w="11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1,834,945</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11"/>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2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Percent of total count:</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portfolio</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(73)</w:t>
            </w: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Non-performing assets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r>
      <w:tr>
        <w:trPr>
          <w:trHeight w:val="405"/>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9"/>
              </w:rPr>
              <w:t>Three Months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ind w:left="20"/>
              <w:spacing w:after="0"/>
              <w:rPr>
                <w:sz w:val="20"/>
                <w:szCs w:val="20"/>
                <w:color w:val="auto"/>
              </w:rPr>
            </w:pPr>
            <w:r>
              <w:rPr>
                <w:rFonts w:ascii="Arial" w:cs="Arial" w:eastAsia="Arial" w:hAnsi="Arial"/>
                <w:sz w:val="18"/>
                <w:szCs w:val="18"/>
                <w:b w:val="1"/>
                <w:bCs w:val="1"/>
                <w:color w:val="auto"/>
              </w:rPr>
              <w:t>Nine Months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2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rPr>
              <w:t>% Change</w:t>
            </w:r>
          </w:p>
        </w:tc>
        <w:tc>
          <w:tcPr>
            <w:tcW w:w="14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9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Average UPB:</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portfolio</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210,431,431</w:t>
            </w:r>
          </w:p>
        </w:tc>
        <w:tc>
          <w:tcPr>
            <w:tcW w:w="400" w:type="dxa"/>
            <w:vAlign w:val="bottom"/>
            <w:tcBorders>
              <w:bottom w:val="single" w:sz="8" w:color="EAF9E8"/>
            </w:tcBorders>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259,913,365</w:t>
            </w:r>
          </w:p>
        </w:tc>
        <w:tc>
          <w:tcPr>
            <w:tcW w:w="114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207,587,363</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EAF9E8"/>
            </w:tcBorders>
            <w:gridSpan w:val="3"/>
            <w:shd w:val="clear" w:color="auto" w:fill="EAF9E8"/>
          </w:tcPr>
          <w:p>
            <w:pPr>
              <w:jc w:val="right"/>
              <w:ind w:right="120"/>
              <w:spacing w:after="0"/>
              <w:rPr>
                <w:sz w:val="20"/>
                <w:szCs w:val="20"/>
                <w:color w:val="auto"/>
              </w:rPr>
            </w:pPr>
            <w:r>
              <w:rPr>
                <w:rFonts w:ascii="Arial" w:cs="Arial" w:eastAsia="Arial" w:hAnsi="Arial"/>
                <w:sz w:val="18"/>
                <w:szCs w:val="18"/>
                <w:color w:val="auto"/>
              </w:rPr>
              <w:t>294,524,820</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Subservicing portfolio</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11,320,230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51,312,236</w:t>
            </w:r>
          </w:p>
        </w:tc>
        <w:tc>
          <w:tcPr>
            <w:tcW w:w="1140" w:type="dxa"/>
            <w:vAlign w:val="bottom"/>
            <w:gridSpan w:val="3"/>
          </w:tcPr>
          <w:p>
            <w:pPr>
              <w:jc w:val="right"/>
              <w:ind w:right="9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13,060,581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40,783,586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(68)</w:t>
            </w:r>
          </w:p>
        </w:tc>
      </w:tr>
      <w:tr>
        <w:trPr>
          <w:trHeight w:val="27"/>
        </w:trPr>
        <w:tc>
          <w:tcPr>
            <w:tcW w:w="29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57"/>
        </w:trPr>
        <w:tc>
          <w:tcPr>
            <w:tcW w:w="29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221,751,661</w:t>
            </w:r>
          </w:p>
        </w:tc>
        <w:tc>
          <w:tcPr>
            <w:tcW w:w="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311,225,601</w:t>
            </w:r>
          </w:p>
        </w:tc>
        <w:tc>
          <w:tcPr>
            <w:tcW w:w="114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220,647,944</w:t>
            </w:r>
          </w:p>
        </w:tc>
        <w:tc>
          <w:tcPr>
            <w:tcW w:w="120" w:type="dxa"/>
            <w:vAlign w:val="bottom"/>
            <w:shd w:val="clear" w:color="auto" w:fill="EAF9E8"/>
          </w:tcPr>
          <w:p>
            <w:pPr>
              <w:spacing w:after="0"/>
              <w:rPr>
                <w:sz w:val="22"/>
                <w:szCs w:val="22"/>
                <w:color w:val="auto"/>
              </w:rPr>
            </w:pPr>
          </w:p>
        </w:tc>
        <w:tc>
          <w:tcPr>
            <w:tcW w:w="120" w:type="dxa"/>
            <w:vAlign w:val="bottom"/>
            <w:shd w:val="clear" w:color="auto" w:fill="EAF9E8"/>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EAF9E8"/>
          </w:tcPr>
          <w:p>
            <w:pPr>
              <w:jc w:val="right"/>
              <w:ind w:right="120"/>
              <w:spacing w:after="0"/>
              <w:rPr>
                <w:sz w:val="20"/>
                <w:szCs w:val="20"/>
                <w:color w:val="auto"/>
              </w:rPr>
            </w:pPr>
            <w:r>
              <w:rPr>
                <w:rFonts w:ascii="Arial" w:cs="Arial" w:eastAsia="Arial" w:hAnsi="Arial"/>
                <w:sz w:val="18"/>
                <w:szCs w:val="18"/>
                <w:color w:val="auto"/>
              </w:rPr>
              <w:t>335,308,406</w:t>
            </w:r>
          </w:p>
        </w:tc>
        <w:tc>
          <w:tcPr>
            <w:tcW w:w="1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96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74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r>
      <w:tr>
        <w:trPr>
          <w:trHeight w:val="770"/>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8"/>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Nine Months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8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2"/>
              </w:rPr>
              <w:t>Prepayment speed (average CPR) (4)</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ind w:left="58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 Voluntary</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81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 Involuntary</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16</w:t>
            </w: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 CPR due to principal</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60" w:type="dxa"/>
            <w:vAlign w:val="bottom"/>
          </w:tcPr>
          <w:p>
            <w:pPr>
              <w:ind w:left="340"/>
              <w:spacing w:after="0"/>
              <w:rPr>
                <w:sz w:val="20"/>
                <w:szCs w:val="20"/>
                <w:color w:val="auto"/>
              </w:rPr>
            </w:pPr>
            <w:r>
              <w:rPr>
                <w:rFonts w:ascii="Arial" w:cs="Arial" w:eastAsia="Arial" w:hAnsi="Arial"/>
                <w:sz w:val="18"/>
                <w:szCs w:val="18"/>
                <w:color w:val="auto"/>
              </w:rPr>
              <w:t>modification</w:t>
            </w:r>
          </w:p>
        </w:tc>
        <w:tc>
          <w:tcPr>
            <w:tcW w:w="34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28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Average count: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portfolio</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1,397,862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1,673,264</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1,370,412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1,865,929</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Subservicing portfolio</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67,310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319,179</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76,558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245,403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(69)</w:t>
            </w:r>
          </w:p>
        </w:tc>
      </w:tr>
      <w:tr>
        <w:trPr>
          <w:trHeight w:val="27"/>
        </w:trPr>
        <w:tc>
          <w:tcPr>
            <w:tcW w:w="28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6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1,465,172</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1,992,443</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1,446,970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2,111,332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11"/>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5"/>
        </w:trPr>
        <w:tc>
          <w:tcPr>
            <w:tcW w:w="286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Servicing and</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41"/>
        </w:trPr>
        <w:tc>
          <w:tcPr>
            <w:tcW w:w="286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Subservicing Fees</w:t>
            </w: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Loan servicing and subservicing</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60" w:type="dxa"/>
            <w:vAlign w:val="bottom"/>
          </w:tcPr>
          <w:p>
            <w:pPr>
              <w:ind w:left="340"/>
              <w:spacing w:after="0"/>
              <w:rPr>
                <w:sz w:val="20"/>
                <w:szCs w:val="20"/>
                <w:color w:val="auto"/>
              </w:rPr>
            </w:pPr>
            <w:r>
              <w:rPr>
                <w:rFonts w:ascii="Arial" w:cs="Arial" w:eastAsia="Arial" w:hAnsi="Arial"/>
                <w:sz w:val="18"/>
                <w:szCs w:val="18"/>
                <w:color w:val="auto"/>
              </w:rPr>
              <w:t>fees: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230,927</w:t>
            </w:r>
          </w:p>
        </w:tc>
        <w:tc>
          <w:tcPr>
            <w:tcW w:w="4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272,661</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702,818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899,171</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286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14,354</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17,494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48,005</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(64)</w:t>
            </w:r>
          </w:p>
        </w:tc>
      </w:tr>
      <w:tr>
        <w:trPr>
          <w:trHeight w:val="27"/>
        </w:trPr>
        <w:tc>
          <w:tcPr>
            <w:tcW w:w="28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44"/>
        </w:trPr>
        <w:tc>
          <w:tcPr>
            <w:tcW w:w="28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235,927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287,015</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720,312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947,176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HAMP fees</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32,021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32,317</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88,130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108,696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Late charges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15,150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19,041</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51,055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63,194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Loan collection fees</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6,736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6,670</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20,828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25,138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10,184</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12,396</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20,523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51,308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(60)</w:t>
            </w:r>
          </w:p>
        </w:tc>
      </w:tr>
      <w:tr>
        <w:trPr>
          <w:trHeight w:val="297"/>
        </w:trPr>
        <w:tc>
          <w:tcPr>
            <w:tcW w:w="286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300,018</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357,439</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900,848</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1,195,512</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(25)%</w:t>
            </w:r>
          </w:p>
        </w:tc>
      </w:tr>
      <w:tr>
        <w:trPr>
          <w:trHeight w:val="284"/>
        </w:trPr>
        <w:tc>
          <w:tcPr>
            <w:tcW w:w="28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25"/>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Number of Completed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860" w:type="dxa"/>
            <w:vAlign w:val="bottom"/>
          </w:tcPr>
          <w:p>
            <w:pPr>
              <w:ind w:left="200"/>
              <w:spacing w:after="0"/>
              <w:rPr>
                <w:sz w:val="20"/>
                <w:szCs w:val="20"/>
                <w:color w:val="auto"/>
              </w:rPr>
            </w:pPr>
            <w:r>
              <w:rPr>
                <w:rFonts w:ascii="Arial" w:cs="Arial" w:eastAsia="Arial" w:hAnsi="Arial"/>
                <w:sz w:val="18"/>
                <w:szCs w:val="18"/>
                <w:b w:val="1"/>
                <w:bCs w:val="1"/>
                <w:color w:val="auto"/>
              </w:rPr>
              <w:t>Modifications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13,354</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9,790</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31,994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33,065</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Non-HAMP</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7,716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9,680</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25,409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34,587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(27)</w:t>
            </w:r>
          </w:p>
        </w:tc>
      </w:tr>
      <w:tr>
        <w:trPr>
          <w:trHeight w:val="27"/>
        </w:trPr>
        <w:tc>
          <w:tcPr>
            <w:tcW w:w="28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21,070</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19,470</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57,403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67,652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743"/>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8"/>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Nine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8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Financing Costs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color w:val="auto"/>
              </w:rPr>
              <w:t>Average balance of advances and</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match funded advances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1,877,798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2,158,248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1,987,573</w:t>
            </w:r>
          </w:p>
        </w:tc>
        <w:tc>
          <w:tcPr>
            <w:tcW w:w="1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2,733,361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Average borrowings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1,400,017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1,543,036</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1,485,655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1,800,479</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613,545</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745,225</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651,305</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775,568</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Arial" w:cs="Arial" w:eastAsia="Arial" w:hAnsi="Arial"/>
                <w:sz w:val="18"/>
                <w:szCs w:val="18"/>
                <w:color w:val="auto"/>
              </w:rPr>
              <w:t>Other secured borrowings</w:t>
            </w: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362,196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936,750</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395,153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1,130,151</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expense on borrowings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17,349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15,425</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53,656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45,379</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73,096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73,931</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193,974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222,265</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Arial" w:cs="Arial" w:eastAsia="Arial" w:hAnsi="Arial"/>
                <w:sz w:val="18"/>
                <w:szCs w:val="18"/>
                <w:color w:val="auto"/>
              </w:rPr>
              <w:t>Other secured borrowings</w:t>
            </w: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9,765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17,585</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28,048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61,428</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Effective average interest rate (5)</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 (6)</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47.65%</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39.68%</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38.21%</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Arial" w:cs="Arial" w:eastAsia="Arial" w:hAnsi="Arial"/>
                <w:sz w:val="18"/>
                <w:szCs w:val="18"/>
                <w:color w:val="auto"/>
              </w:rPr>
              <w:t>Other secured borrowings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7.51%</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8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color w:val="auto"/>
              </w:rPr>
              <w:t>Facility costs included in interest</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8,953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9,489</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26,519</w:t>
            </w:r>
          </w:p>
        </w:tc>
        <w:tc>
          <w:tcPr>
            <w:tcW w:w="1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28,949</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Average 1-month LIBOR</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0.19%</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0.18%</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97"/>
        </w:trPr>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India and other</w:t>
            </w: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6,164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6,654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6,861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 S.</w:t>
            </w:r>
          </w:p>
        </w:tc>
        <w:tc>
          <w:tcPr>
            <w:tcW w:w="32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1,882</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2,040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97"/>
        </w:trPr>
        <w:tc>
          <w:tcPr>
            <w:tcW w:w="284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7,484</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8,536</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7,551</w:t>
            </w:r>
          </w:p>
        </w:tc>
        <w:tc>
          <w:tcPr>
            <w:tcW w:w="10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8,901</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4"/>
        </w:trPr>
        <w:tc>
          <w:tcPr>
            <w:tcW w:w="28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40" w:type="dxa"/>
            <w:vAlign w:val="bottom"/>
          </w:tcPr>
          <w:p>
            <w:pPr>
              <w:ind w:left="40"/>
              <w:spacing w:after="0"/>
              <w:rPr>
                <w:sz w:val="20"/>
                <w:szCs w:val="20"/>
                <w:color w:val="auto"/>
              </w:rPr>
            </w:pPr>
            <w:r>
              <w:rPr>
                <w:rFonts w:ascii="Arial" w:cs="Arial" w:eastAsia="Arial" w:hAnsi="Arial"/>
                <w:sz w:val="18"/>
                <w:szCs w:val="18"/>
                <w:b w:val="1"/>
                <w:bCs w:val="1"/>
                <w:color w:val="auto"/>
                <w:w w:val="98"/>
              </w:rPr>
              <w:t>Collections on loans serviced for</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rPr>
              <w:t>10,722,550</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110"/>
              <w:spacing w:after="0"/>
              <w:rPr>
                <w:sz w:val="20"/>
                <w:szCs w:val="20"/>
                <w:color w:val="auto"/>
              </w:rPr>
            </w:pPr>
            <w:r>
              <w:rPr>
                <w:rFonts w:ascii="Arial" w:cs="Arial" w:eastAsia="Arial" w:hAnsi="Arial"/>
                <w:sz w:val="18"/>
                <w:szCs w:val="18"/>
                <w:color w:val="auto"/>
              </w:rPr>
              <w:t>13,954,446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10"/>
              <w:spacing w:after="0"/>
              <w:rPr>
                <w:sz w:val="20"/>
                <w:szCs w:val="20"/>
                <w:color w:val="auto"/>
              </w:rPr>
            </w:pPr>
            <w:r>
              <w:rPr>
                <w:rFonts w:ascii="Arial" w:cs="Arial" w:eastAsia="Arial" w:hAnsi="Arial"/>
                <w:sz w:val="18"/>
                <w:szCs w:val="18"/>
                <w:color w:val="auto"/>
              </w:rPr>
              <w:t>30,782,109</w:t>
            </w:r>
          </w:p>
        </w:tc>
        <w:tc>
          <w:tcPr>
            <w:tcW w:w="100" w:type="dxa"/>
            <w:vAlign w:val="bottom"/>
          </w:tcPr>
          <w:p>
            <w:pPr>
              <w:spacing w:after="0"/>
              <w:rPr>
                <w:sz w:val="19"/>
                <w:szCs w:val="19"/>
                <w:color w:val="auto"/>
              </w:rPr>
            </w:pPr>
          </w:p>
        </w:tc>
        <w:tc>
          <w:tcPr>
            <w:tcW w:w="3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0"/>
              <w:spacing w:after="0"/>
              <w:rPr>
                <w:sz w:val="20"/>
                <w:szCs w:val="20"/>
                <w:color w:val="auto"/>
              </w:rPr>
            </w:pPr>
            <w:r>
              <w:rPr>
                <w:rFonts w:ascii="Arial" w:cs="Arial" w:eastAsia="Arial" w:hAnsi="Arial"/>
                <w:sz w:val="18"/>
                <w:szCs w:val="18"/>
                <w:color w:val="auto"/>
              </w:rPr>
              <w:t>51,945,571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40" w:type="dxa"/>
            <w:vAlign w:val="bottom"/>
          </w:tcPr>
          <w:p>
            <w:pPr>
              <w:ind w:left="200"/>
              <w:spacing w:after="0"/>
              <w:rPr>
                <w:sz w:val="20"/>
                <w:szCs w:val="20"/>
                <w:color w:val="auto"/>
              </w:rPr>
            </w:pPr>
            <w:r>
              <w:rPr>
                <w:rFonts w:ascii="Arial" w:cs="Arial" w:eastAsia="Arial" w:hAnsi="Arial"/>
                <w:sz w:val="18"/>
                <w:szCs w:val="18"/>
                <w:b w:val="1"/>
                <w:bCs w:val="1"/>
                <w:color w:val="auto"/>
              </w:rPr>
              <w:t>others</w:t>
            </w:r>
          </w:p>
        </w:tc>
        <w:tc>
          <w:tcPr>
            <w:tcW w:w="3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420" w:hanging="492"/>
        <w:spacing w:after="0" w:line="255"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Includes 596,515 and 660,999 subprime loans with a UPB of $95.2 billion and $108.4 billion at September 30, 2016 and September 30, 2015, respectively.</w:t>
      </w:r>
    </w:p>
    <w:p>
      <w:pPr>
        <w:spacing w:after="0" w:line="16" w:lineRule="exact"/>
        <w:rPr>
          <w:rFonts w:ascii="Arial" w:cs="Arial" w:eastAsia="Arial" w:hAnsi="Arial"/>
          <w:sz w:val="15"/>
          <w:szCs w:val="15"/>
          <w:color w:val="auto"/>
        </w:rPr>
      </w:pPr>
    </w:p>
    <w:p>
      <w:pPr>
        <w:ind w:left="500" w:right="160" w:hanging="492"/>
        <w:spacing w:after="0" w:line="246"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174,299 and 210,030 prime loans with a UPB of $32.7 billion and $41.6 billion at September 30, 2016 and September 30, 2015, respectively, that we service or subservice.</w:t>
      </w:r>
    </w:p>
    <w:p>
      <w:pPr>
        <w:ind w:left="500" w:hanging="492"/>
        <w:spacing w:after="0"/>
        <w:tabs>
          <w:tab w:leader="none" w:pos="5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CPR, or the constant prepayment rate, measures loan prepayments as a percentage of the current outstanding loan balance expressed as a compound annual rate.</w:t>
      </w:r>
    </w:p>
    <w:p>
      <w:pPr>
        <w:spacing w:after="0" w:line="16" w:lineRule="exact"/>
        <w:rPr>
          <w:rFonts w:ascii="Arial" w:cs="Arial" w:eastAsia="Arial" w:hAnsi="Arial"/>
          <w:sz w:val="15"/>
          <w:szCs w:val="15"/>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effective average interest rates include the amortization of facility costs.</w:t>
      </w:r>
    </w:p>
    <w:p>
      <w:pPr>
        <w:spacing w:after="0" w:line="5" w:lineRule="exact"/>
        <w:rPr>
          <w:rFonts w:ascii="Arial" w:cs="Arial" w:eastAsia="Arial" w:hAnsi="Arial"/>
          <w:sz w:val="16"/>
          <w:szCs w:val="16"/>
          <w:color w:val="auto"/>
        </w:rPr>
      </w:pPr>
    </w:p>
    <w:p>
      <w:pPr>
        <w:ind w:left="500" w:hanging="492"/>
        <w:spacing w:after="0" w:line="248"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effective average interest rate on the financing liability that we recognized in connection with the sales of Rights to MSRs to NRZ is 59.15% and 49.73% for the three months ended September 30, 2016 and 2015, respectively, and 49.40% and 48.55% for the nine months ended September 30, 2016 and 2015. Interest expense on financing liabilities for the three months ended September 30, 2015 included $8.2 million of fees incurred in connection with our agreement to compensate NRZ through June 2016 for certain increased costs associated with its servicing advance financing facilities that were the direct result of a downgrade of our S&amp;P servicer rating in 2015. Interest expense on financing liabilities for the nine months ended September 30, 2016 and 2015 includes $10.5 million and $8.5 million, respectively, of such fees.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42" w:right="23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 or subserviced: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tcPr>
          <w:p>
            <w:pPr>
              <w:ind w:left="660"/>
              <w:spacing w:after="0"/>
              <w:rPr>
                <w:sz w:val="20"/>
                <w:szCs w:val="20"/>
                <w:color w:val="auto"/>
              </w:rPr>
            </w:pPr>
            <w:r>
              <w:rPr>
                <w:rFonts w:ascii="Arial" w:cs="Arial" w:eastAsia="Arial" w:hAnsi="Arial"/>
                <w:sz w:val="18"/>
                <w:szCs w:val="18"/>
                <w:b w:val="1"/>
                <w:bCs w:val="1"/>
                <w:color w:val="auto"/>
              </w:rPr>
              <w:t>Amount of UPB</w:t>
            </w:r>
          </w:p>
        </w:tc>
        <w:tc>
          <w:tcPr>
            <w:tcW w:w="1960" w:type="dxa"/>
            <w:vAlign w:val="bottom"/>
            <w:gridSpan w:val="3"/>
          </w:tcPr>
          <w:p>
            <w:pPr>
              <w:ind w:left="1300"/>
              <w:spacing w:after="0"/>
              <w:rPr>
                <w:sz w:val="20"/>
                <w:szCs w:val="20"/>
                <w:color w:val="auto"/>
              </w:rPr>
            </w:pPr>
            <w:r>
              <w:rPr>
                <w:rFonts w:ascii="Arial" w:cs="Arial" w:eastAsia="Arial" w:hAnsi="Arial"/>
                <w:sz w:val="18"/>
                <w:szCs w:val="18"/>
                <w:b w:val="1"/>
                <w:bCs w:val="1"/>
                <w:color w:val="auto"/>
              </w:rPr>
              <w:t>Count</w:t>
            </w:r>
          </w:p>
        </w:tc>
        <w:tc>
          <w:tcPr>
            <w:tcW w:w="10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51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January 1</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250,966,112</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398,727,727</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1,624,762</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2,486,038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1,531,715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2,246,103</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7,969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10,864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 (1)</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(34,643)</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(6,745,819)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(3,267,861)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(34,506)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(27,980)</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(8,636,329)</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(15,491,967)</w:t>
            </w:r>
          </w:p>
        </w:tc>
        <w:tc>
          <w:tcPr>
            <w:tcW w:w="12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(47,132)</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(78,148)</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Portfolio at March 31</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237,081,036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382,214,002</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1,550,967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2,390,774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2,079,670</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2,340,063</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9,843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12,116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Sales (1)</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(179,110)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(43,692,860)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(247,760)</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(458,189)</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(3,926,601)</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(22,091)</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(9,247,406)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(15,264,025)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(51,942)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(78,785)</w:t>
            </w:r>
          </w:p>
        </w:tc>
      </w:tr>
      <w:tr>
        <w:trPr>
          <w:trHeight w:val="27"/>
        </w:trPr>
        <w:tc>
          <w:tcPr>
            <w:tcW w:w="51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June 30</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229,276,001</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321,670,579</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1,506,490</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2,054,254</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1,912,894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2,035,490</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8,815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10,681</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 (1)</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(3,274,966)</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(21,541,112)</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(17,752)</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(156,221)</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(1,788,040)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(1,576,874)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(8,171)</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(9,233,887)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(12,518,934)</w:t>
            </w:r>
          </w:p>
        </w:tc>
        <w:tc>
          <w:tcPr>
            <w:tcW w:w="12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(51,334)</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(65,598)</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Portfolio at September 30</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216,892,002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288,069,149</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1,437,667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1,834,945</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line="252"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Following the sale of MSRs, we may continue to subservice the loans on an interim basis between the transaction closing date and the servicing transfer date for a reduced fee. We continue to include such loans in our reported portfolio until the servicing transfer date. As of September 30, 2015, we were subservicing 117,548 loans with a UPB of $21.2 billion on an interim basis relating to Agency MSRs that we sold during the third quarter. The servicing transfer on these loans was completed during the fourth quarter of 2015. As of September 30, 2016, we were subservicing 676 loans with a UPB of $66.3 million on an interim basis relating to Non-Agency MSRs that we sold during the third quarter. See Note 4 — Sales of Advances and MSRs and Note 8 – Mortgage Servicing to the Unaudited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versus 2015</w:t>
      </w:r>
    </w:p>
    <w:p>
      <w:pPr>
        <w:spacing w:after="0" w:line="117"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The key driver of our servicing segment operating results, as compared to the third quarter of 2015, was a $55.9 million decrease in total Servicing revenue, resulting from a 29% decline in the average UPB and a 26% decline in the average number of assets in our residential servicing and subservicing portfolio due to MSR sales and portfolio runoff. The decline in revenues was accompanied by a $114.0 million decline in total expenses.</w:t>
      </w:r>
    </w:p>
    <w:p>
      <w:pPr>
        <w:spacing w:after="0" w:line="3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Revenue associated with delinquent loan resolution strategies increased in line with the 8% increase in completed modifications. The portion of modifications completed under HAMP as a percentage of total modifications increased to 63% in the third quarter of 2016 as compared to 50% for the third quarter of 2015. The HAMP program expires on December 31, 2016, although borrowers who have requested assistance or to whom an offer of assistance has been extended as of that date have until September 30, 2017 to finalize their modification. We recognized revenue of $57.3 million and $56.6 million during the third quarter of 2016 and 2015, respectively, in connection with loan modifications. Included in revenue for the third quarter of 2016 is $16.9 million related to the recently implemented streamlined modification process (Streamline HAMP). As of October 14, 2016, over 22,675 borrowers had made an initial payment under a plan, with 6,325 of those having converted to permanent modifications in the third quarter (4,112 were completed in the second quarter).</w:t>
      </w:r>
    </w:p>
    <w:p>
      <w:pPr>
        <w:spacing w:after="0" w:line="84"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estimate the balance of deferred servicing fees related to delinquent borrower payments was $399.6 million at September 30, 2016 compared to $473.4 million at September 30, 2015. We are contractually obligated to remit to NRZ all deferred servicing fees collected in connection with MSRs underlying Rights to MSRs. However, in addition to base servicing fees, we are entitled to performance fees that increase to the extent we collect deferred servicing fees. As such, the majority of the deferred servicing fees collected are recognized by us as additional revenue without a corresponding increase in interest expense related to the NRZ financing liability.</w:t>
      </w:r>
    </w:p>
    <w:p>
      <w:pPr>
        <w:spacing w:after="0" w:line="80"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Expenses were $114.0 million, or 36%, lower in the third quarter of 2016 as compared to the third quarter of 2015. Excluding MSR amortization and valuation adjustments, expenses decreased by $47.8 million, or 19%. A 30% reduction in average U.S.-based headcount and the migration of certain operations offshore, where we believe we realize cost efficiencies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92" w:right="239" w:bottom="1440" w:gutter="0" w:footer="0" w:header="0"/>
        </w:sectPr>
      </w:pPr>
    </w:p>
    <w:bookmarkStart w:id="65" w:name="page66"/>
    <w:bookmarkEnd w:id="65"/>
    <w:p>
      <w:pPr>
        <w:ind w:right="420"/>
        <w:spacing w:after="0" w:line="264" w:lineRule="auto"/>
        <w:rPr>
          <w:sz w:val="20"/>
          <w:szCs w:val="20"/>
          <w:color w:val="auto"/>
        </w:rPr>
      </w:pPr>
      <w:r>
        <w:rPr>
          <w:rFonts w:ascii="Arial" w:cs="Arial" w:eastAsia="Arial" w:hAnsi="Arial"/>
          <w:sz w:val="18"/>
          <w:szCs w:val="18"/>
          <w:color w:val="auto"/>
        </w:rPr>
        <w:t>while maintaining operational effectiveness, enabled reductions in Compensation and benefits expense of $15.0 million, or 26%, and servicing-related outsourcing expenses of $1.2 million. We continue to review the efficiency of our servicing operations to take advantage of additional cost improvement strategies aimed at restoring the Servicing business to profitability and improving the borrower experience.</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Excluding MSR valuation adjustments, Servicing and origination expense increased by $4.1 million in the third quarter of 2016. This increase is primarily due to the accelerated recognition of $23.1 million of expenses related to our participation in HUD’s Aged Delinquent Portfolio Loan Sale (ADPLS) program. The impact of this expense was partially offset by an $18.1 million benefit in MSR amortization, which resulted in net negative amortization expense for the quarter. ADPLS and other HUD loan sales programs are alternatives to the normal conveyance claim process in which a servicer must complete the foreclosure process and then convey the vacant, and potentially rehabilitated, home to FHA. Under ADPLS, the assignment of the loan to HUD by the servicer accelerates the receipt of claim proceeds by the servicer, significantly shortening the foreclosure and claim timelines and reducing related servicer expenses. HUD accepts and pools the resulting uninsured loans for resale through an auction process. The cancellation of the FHA insurance by HUD and sale of the uninsured loan delays the foreclosure process and gives the borrower more time and another chance to avoid foreclosure, options that may not have been feasible while the loans were insured. ADPLS differs from other HUD loan sale programs, in which Ocwen has participated on a smaller scale, in that the loans targeted for approval are over three years delinquent. The increase in expenses related to ADPLS is partially offset by reductions in other costs primarily related to process improvements and simplification of our operations facilitated in large part by the sale of Agency MSRs.</w:t>
      </w:r>
    </w:p>
    <w:p>
      <w:pPr>
        <w:spacing w:after="0" w:line="173"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Occupancy and equipment expense declined $11.1 million largely because of efficiencies and the effect of the decline in the size of the servicing portfolio on various expenses, principally the cost of postage and other delivery services. Costs charged through corporate overhead allocations, which are included in Other expense, declined $10.6 million (excluding an $11.2 million increase in technology allocations that was largely offset by the $8.9 million decline in Technology and communication expense). Provision for indemnification obligations was $9.8 million lower in the third quarter of 2016 as compared to the third quarter of 2015.</w:t>
      </w:r>
    </w:p>
    <w:p>
      <w:pPr>
        <w:spacing w:after="0" w:line="18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MSR amortization and valuation adjustments (including both fair value adjustments and impairment charges) decreased $66.2 million due to a decrease in impairment charges related to our government insured MSRs driven by a more favorable change in mortgage rates, the effects of portfolio runoff and MSR sales, and the removal of the MSRs for loans conveyed to HUD as part of the ADPLS process which resulted in an $18.1 million benefit in amortization. Increasing interest rates typically result in decreased prepayment activity for MSRs, which generally increases the value of our MSRs as the underlying loans prepay slower. The fair value of our government-insured MSRs rose above their net carrying value, resulting in the reversal of $1.9 million of impairment in the third quarter of 2016. In the third quarter of 2015, we recognized an impairment charge of $23.4 million on our government-insured MSRs.</w:t>
      </w:r>
    </w:p>
    <w:p>
      <w:pPr>
        <w:spacing w:after="0" w:line="5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Interest expense declined by $8.2 million, or 8%, in the third quarter of 2016 compared to the third quarter of 2015 principally because expense on the SSTL decreased $6.1 million as a result of prepayments totaling $45.9 million during the nine months ended September 30, 2016 and the $865.8 million of repayments during the year ended December 31, 2015. Interest on the NRZ financing liabilities increased by $9.4 million. However, this increase was largely offset by an $8.2 million decrease in additional payments to NRZ in connection with a previous downgrade to our S&amp;P servicer rating. Our obligation to make such additional payments ended in the second quarter of 2016. Interest expense on match funded debt increased $1.9 million as compared to the third quarter of 2015, as the effect of the decreases in average borrowings on interest expense was offset by an increase in facility cost amortization as a component of interest expense (due in part because of the early refinancing of $500.0 million of term notes), an increase in the margins on the interest rate indexes of our borrowings and an increase in 1-Month LIBOR.</w:t>
      </w:r>
    </w:p>
    <w:p>
      <w:pPr>
        <w:spacing w:after="0" w:line="71"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6"/>
          <w:szCs w:val="16"/>
          <w:color w:val="auto"/>
        </w:rPr>
        <w:t>Other income (Other, net) for the third quarter of 2016 includes $12.8 million received in connection with the execution of clean-up call rights related to four small-balance commercial mortgage securitization trusts. We also recognized a $2.5 million loss on the sale of the commercial loans purchased as part of the transaction, which we reported in Gain on loans held for sale, net. See Note 8 – Mortgage Servicing for additional information. During the third quarter of 2016, we recognized net gains of $5.7 million in Other income on the sale of Agency and non-Agency MSRs relating to loans with a UPB of $3.3 billion.</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Other income for the third quarter of 2015 includes net gains of $41.2 million recognized on the sale of Agency MSRs relating to loans with a UPB of $22.1 billion.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versus 2015</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Total Servicing revenue declined $317.5 million as the average UPB and the average number of assets in our residential servicing and subservicing portfolio declined by 34% and 31%, respectively, due to portfolio runoff and sales of MSRs completed in 2015. Revenue recognized in connection with loan modifications declined to $155.6 million for the nine months ended September 30, 2016 as compared to $188.0 million for the same period in 2015 consistent with the 15% decline in completed modifications.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92" w:right="239" w:bottom="1440" w:gutter="0" w:footer="0" w:header="0"/>
        </w:sectPr>
      </w:pPr>
    </w:p>
    <w:bookmarkStart w:id="66" w:name="page67"/>
    <w:bookmarkEnd w:id="66"/>
    <w:p>
      <w:pPr>
        <w:ind w:firstLine="324"/>
        <w:spacing w:after="0" w:line="288" w:lineRule="auto"/>
        <w:rPr>
          <w:sz w:val="20"/>
          <w:szCs w:val="20"/>
          <w:color w:val="auto"/>
        </w:rPr>
      </w:pPr>
      <w:r>
        <w:rPr>
          <w:rFonts w:ascii="Arial" w:cs="Arial" w:eastAsia="Arial" w:hAnsi="Arial"/>
          <w:sz w:val="16"/>
          <w:szCs w:val="16"/>
          <w:color w:val="auto"/>
        </w:rPr>
        <w:t>Expenses were $199.1 million, or 21%, lower for the nine months ended September 30, 2016 as compared to the same period of 2015. Excluding MSR amortization and valuation adjustments, expenses decreased by $132.0 million, or 17%, principally because of our progress to date in implementing cost improvement initiatives. The 30% reduction in average U.S. based headcount and the migration of certain operations offshore enabled reductions in Compensation and benefits expense of $46.2 million, or 26%, and in servicing-related outsourcing expenses of $4.7 million. In addition, India and other offshore headcount declined by 11%. Despite $30.9 million of expenses related to ADPLS in 2016, we were able to reduce Servicing and origination expense, excluding MSR valuation adjustments, by $21.6 million for the nine months ended September 30, 2016 through process improvements and simplification of our operations facilitated in large part by the sale of Agency MSRs. Occupancy and equipment expense declined $18.2 million primarily because of the effect of the decline in the size of the servicing portfolio as noted above. Corporate technology allocations included in Other expense increased by $30.6 million, but this increase was offset by the $28.8 million decline in Technology and communication expenses. The remaining corporate overhead allocations declined by $27.5 million, in large part because corporate overhead allocations in 2015 reflected investments made to expand our risk and compliance functions.</w:t>
      </w:r>
    </w:p>
    <w:p>
      <w:pPr>
        <w:spacing w:after="0" w:line="6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MSR amortization and valuation adjustments (including both fair value adjustments and impairment charges), decreased $67.1 million because of the effects of portfolio runoff and MSR sales and a $24.1 million amortization benefit recognized in relation to our participation in the ADPLS program offset by an increase in impairment charges related to our government insured MSRs as a consequence of lower mortgage rates. The fair value of our government-insured MSRs fell below their carrying value during the nine months ended September 30, 2016, resulting in the recognition of impairment charges of $37.2 million. During the nine months ended September 30, 2015, we recognized impairment charges of $25.1 million on our government-insured MSRs.</w:t>
      </w:r>
    </w:p>
    <w:p>
      <w:pPr>
        <w:spacing w:after="0" w:line="5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Interest expense declined by $57.3 million, or 17%, for the nine months ended September 30, 2016 as compared to the same period of 2015 due in part to a $26.9 million decrease in interest on the NRZ financing liabilities, which was offset in part by an increase of $2.0 million in payments to NRZ in connection with a previous downgrade to our S&amp;P servicer rating. In addition, interest expense on the SSTL decreased $31.8 million as a result of prepayments totaling $45.9 million during the nine months ended September 30, 2016 and the substantial repayments made during the year ended December 31, 2015. Interest expense on our match funded debt increased by $8.3 million, despite a decrease in average borrowings, as the effect was offset by an increase in facility cost amortization as a component of interest expense, an increase in the margins on the interest rate indexes of our borrowings and an increase in 1-Month LIBOR.</w:t>
      </w:r>
    </w:p>
    <w:p>
      <w:pPr>
        <w:spacing w:after="0" w:line="5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Other income for the nine months ended September 30, 2016 includes $12.8 million received in connection with the execution of clean-up call rights, as disclosed above. During the nine months ended September 30, 2016, we recognized net gains of $7.7 million in Other income on the sale of non-Agency MSRs relating to loans with a UPB of $3.6 billion. Other income for the nine months ended September 30, 2015 includes net gains of $98.0 million recognized on the sale of Agency MSRs relating to loans with a UPB of $86.4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originate and purchase conventional (conforming to the underwriting standards of the GSEs, collectively Agency loans) and government-insured (insured by the FHA or VA) forward mortgage loans through our forward lending operations. Loans are acquired through three primary channels: correspondent lender relationships, broker relationships (wholesale) and directly with mortgage customers (retail). Per-loan margins vary by channel, with correspondent typically being the lowest margin and retail the highest margin. After origination, we generally package and sell the loans in the secondary mortgage market, through GSE securitizations and whole loan transactions. We typically retain the associated MSRs as we view this as a low cost means to acquire MSRs with solid return profiles.</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Reverse mortgages are originated and purchased through our reverse lending operations under the guidelines of the HECM reverse mortgage insurance program of HUD. Loans originated under this program are guaranteed by the FHA, which provides investors with protection against risk of borrower default. We retain the servicing rights to reverse loans securitized through the Ginnie Mae HMBS program. The reverse channel provides both current period and future period gain on sale revenue from new originations as well as from subsequent tail draws taken by the borrower. We have originated variable rate HECM loans under which the borrowers have additional borrowing capacity of $1.1 billion at September 30, 2016. These draws are funded by the servicer and can be subsequently securitized or sold (Future Value). We do not incur any substantive underwriting, marketing or compensation costs in connection with these future draws. We recognize this Future Value over time as future draws are securitized or sold. At September 30, 2016, unrecognized Future Value is estimated to be $63.3 million.</w:t>
      </w:r>
    </w:p>
    <w:p>
      <w:pPr>
        <w:spacing w:after="0" w:line="192"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We are working to increase the scale and breadth of our Lending business. Although the slowing of the Home Affordable Refinance Program (HARP) and the sale of Agency MSRs (which decreases loans available to re-finance) present challenges, we are focused on increasing conversion rates (i.e., recapture) on our existing servicing portfolio and expanding our correspondent channel through growing our third-party origination businesses. Additionally we are exploring offering different products we believe we can originate profitably and with acceptable levels of risk. We believe our experience in servicing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692" w:right="259" w:bottom="1440" w:gutter="0" w:footer="0" w:header="0"/>
        </w:sectPr>
      </w:pPr>
    </w:p>
    <w:bookmarkStart w:id="67" w:name="page68"/>
    <w:bookmarkEnd w:id="67"/>
    <w:p>
      <w:pPr>
        <w:spacing w:after="0" w:line="264" w:lineRule="auto"/>
        <w:rPr>
          <w:sz w:val="20"/>
          <w:szCs w:val="20"/>
          <w:color w:val="auto"/>
        </w:rPr>
      </w:pPr>
      <w:r>
        <w:rPr>
          <w:rFonts w:ascii="Arial" w:cs="Arial" w:eastAsia="Arial" w:hAnsi="Arial"/>
          <w:sz w:val="18"/>
          <w:szCs w:val="18"/>
          <w:color w:val="auto"/>
        </w:rPr>
        <w:t>difficult loans will also allow us to help borrowers obtain loans that are more challenging to originate. Building the sales and operations capacity to meet this need is a goal for the business, as well as investment in the development of our LOS (Loan Operating System) and the continued use of process improvements to drive productivity.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UPB of our loan production, by channel,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Correspondent</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Wholesale</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Retail</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Three months ended September 30, 2016</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441,968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661,360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113,111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1,216,439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Reverse loans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109,141</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71,988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31,896</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213,025</w:t>
            </w:r>
          </w:p>
        </w:tc>
      </w:tr>
      <w:tr>
        <w:trPr>
          <w:trHeight w:val="297"/>
        </w:trPr>
        <w:tc>
          <w:tcPr>
            <w:tcW w:w="47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551,109</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733,348</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145,007</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1,429,464</w:t>
            </w:r>
          </w:p>
        </w:tc>
      </w:tr>
      <w:tr>
        <w:trPr>
          <w:trHeight w:val="311"/>
        </w:trPr>
        <w:tc>
          <w:tcPr>
            <w:tcW w:w="47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 2016</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loans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1,334,059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1,496,539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286,914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3,117,512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Reverse loans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294,844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212,836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103,455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611,135</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1,628,903</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1,709,375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390,369</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3,728,647</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6"/>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Three months ended September 30, 2015</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622,678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343,079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150,510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1,116,267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Reverse loans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83,979</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83,359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31,189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198,527</w:t>
            </w:r>
          </w:p>
        </w:tc>
      </w:tr>
      <w:tr>
        <w:trPr>
          <w:trHeight w:val="297"/>
        </w:trPr>
        <w:tc>
          <w:tcPr>
            <w:tcW w:w="47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706,657</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426,438</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181,699</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1,314,794</w:t>
            </w:r>
          </w:p>
        </w:tc>
      </w:tr>
      <w:tr>
        <w:trPr>
          <w:trHeight w:val="311"/>
        </w:trPr>
        <w:tc>
          <w:tcPr>
            <w:tcW w:w="47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 2015</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loans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1,507,270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993,485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616,363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3,117,118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Reverse loans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218,432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296,434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121,487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636,353</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1,725,702</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1,289,919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737,850</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3,753,471</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8" w:name="page69"/>
    <w:bookmarkEnd w:id="68"/>
    <w:p>
      <w:pPr>
        <w:ind w:right="12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the Lending segment for the periods ended September 30.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Three Months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Nine Months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loans</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11,306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16,078</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33,971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56,297</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Reverse loans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6,992</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26,203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3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18,888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23,070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56,469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82,500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(32)</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11,808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6,592</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32,786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24,221</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35</w:t>
            </w:r>
          </w:p>
        </w:tc>
      </w:tr>
      <w:tr>
        <w:trPr>
          <w:trHeight w:val="27"/>
        </w:trPr>
        <w:tc>
          <w:tcPr>
            <w:tcW w:w="3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30,696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29,662</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89,255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106,721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r>
      <w:tr>
        <w:trPr>
          <w:trHeight w:val="264"/>
        </w:trPr>
        <w:tc>
          <w:tcPr>
            <w:tcW w:w="30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12,575</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48,580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40,027</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21</w:t>
            </w: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30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w:t>
            </w: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rights</w:t>
            </w:r>
          </w:p>
        </w:tc>
        <w:tc>
          <w:tcPr>
            <w:tcW w:w="3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2,221</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6,016</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69</w:t>
            </w: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1,081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3,834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(39)</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1,613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(32)</w:t>
            </w: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1,286</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3,883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3,873</w:t>
            </w: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5,247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11,783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17,872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(34)</w:t>
            </w:r>
          </w:p>
        </w:tc>
      </w:tr>
      <w:tr>
        <w:trPr>
          <w:trHeight w:val="27"/>
        </w:trPr>
        <w:tc>
          <w:tcPr>
            <w:tcW w:w="3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27,735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23,126</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78,091</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73,497</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w:t>
            </w:r>
          </w:p>
        </w:tc>
      </w:tr>
      <w:tr>
        <w:trPr>
          <w:trHeight w:val="291"/>
        </w:trPr>
        <w:tc>
          <w:tcPr>
            <w:tcW w:w="30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3,883</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11,805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11,025</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(3,684)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(2,256)</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(10,829)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(7,058)</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53</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1,826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(46)</w:t>
            </w:r>
          </w:p>
        </w:tc>
      </w:tr>
      <w:tr>
        <w:trPr>
          <w:trHeight w:val="27"/>
        </w:trPr>
        <w:tc>
          <w:tcPr>
            <w:tcW w:w="3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2,052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5,793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(66)</w:t>
            </w:r>
          </w:p>
        </w:tc>
      </w:tr>
      <w:tr>
        <w:trPr>
          <w:trHeight w:val="210"/>
        </w:trPr>
        <w:tc>
          <w:tcPr>
            <w:tcW w:w="30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6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8,588</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13,122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39,017</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versus 2015</w:t>
      </w:r>
    </w:p>
    <w:p>
      <w:pPr>
        <w:spacing w:after="0" w:line="22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Lending pre-tax income declined by $5.0 million, or 58%, in third quarter of 2016 as compared to the third quarter of 2015 due to a $12.6 million decrease in pre-tax income of the forward lending operations offset in part by a $7.6 million increase in pre-tax income of the reverse mortgage operations. Our forward lending operations incurred a $3.6 million pre-tax loss for the three months ended September 30, 2016 while our reverse lending operations generated pre-tax income of $7.2 million. Total loan production increased by $114.7 million, or 9%, due to a $14.5 million increase in reverse lending origination volume and a $100.2 million increase in forward lending volume. Gains on loans held for sale, net decreased $4.2 million, or 18%, primarily due to volume declines in the forward lending retail and correspondent channels and lower margins in all forward lending channels. This was partially offset by higher volume in the forward lending wholesale channel and higher volume in reverse lending.</w:t>
      </w:r>
    </w:p>
    <w:p>
      <w:pPr>
        <w:spacing w:after="0" w:line="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Expenses related to the lending platforms are driven largely by production volume, with direct acquisition costs offset by origination fee income that is included in Other revenue.</w:t>
      </w:r>
    </w:p>
    <w:p>
      <w:pPr>
        <w:spacing w:after="0" w:line="170" w:lineRule="exact"/>
        <w:rPr>
          <w:sz w:val="20"/>
          <w:szCs w:val="20"/>
          <w:color w:val="auto"/>
        </w:rPr>
      </w:pPr>
    </w:p>
    <w:p>
      <w:pPr>
        <w:jc w:val="both"/>
        <w:ind w:right="520" w:firstLine="324"/>
        <w:spacing w:after="0" w:line="264" w:lineRule="auto"/>
        <w:rPr>
          <w:sz w:val="20"/>
          <w:szCs w:val="20"/>
          <w:color w:val="auto"/>
        </w:rPr>
      </w:pPr>
      <w:r>
        <w:rPr>
          <w:rFonts w:ascii="Arial" w:cs="Arial" w:eastAsia="Arial" w:hAnsi="Arial"/>
          <w:sz w:val="18"/>
          <w:szCs w:val="18"/>
          <w:color w:val="auto"/>
        </w:rPr>
        <w:t>Interest income consists primarily of interest earned on newly originated and purchased loans prior to sale to investors. Interest income is offset by interest expense incurred to finance the mortgage loans. We finance originated and purchased forward and reverse mortgage loans with repurchase and participation agreements, commonly referred to as warehouse lines.</w:t>
      </w:r>
    </w:p>
    <w:p>
      <w:pPr>
        <w:spacing w:after="0" w:line="18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Forward lending revenues of $13.3 million decreased by $5.8 million, or 30%, from the third quarter of 2015. The decrease in revenue was driven by volume declines in the retail and correspondent channels and lower margins in all channels. Total forward mortgage originations increased to $1.2 billion, which was $100.2 million, or 9%, higher than originations in the third quarter of 2015 as higher wholesale channel volumes exceeded declines in the retail and correspondent channels. Forward lending expenses of $16.9 million represented an increase of $5.2 million, or 44%, from the third quarter of 2015, principally</w:t>
      </w:r>
    </w:p>
    <w:p>
      <w:pPr>
        <w:sectPr>
          <w:pgSz w:w="11900" w:h="16838" w:orient="portrait"/>
          <w:cols w:equalWidth="0" w:num="1">
            <w:col w:w="11420"/>
          </w:cols>
          <w:pgMar w:left="240" w:top="692"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692" w:right="239" w:bottom="1440" w:gutter="0" w:footer="0" w:header="0"/>
          <w:type w:val="continuous"/>
        </w:sectPr>
      </w:pPr>
    </w:p>
    <w:bookmarkStart w:id="69" w:name="page70"/>
    <w:bookmarkEnd w:id="69"/>
    <w:p>
      <w:pPr>
        <w:ind w:right="560"/>
        <w:spacing w:after="0" w:line="277" w:lineRule="auto"/>
        <w:rPr>
          <w:sz w:val="20"/>
          <w:szCs w:val="20"/>
          <w:color w:val="auto"/>
        </w:rPr>
      </w:pPr>
      <w:r>
        <w:rPr>
          <w:rFonts w:ascii="Arial" w:cs="Arial" w:eastAsia="Arial" w:hAnsi="Arial"/>
          <w:sz w:val="18"/>
          <w:szCs w:val="18"/>
          <w:color w:val="auto"/>
        </w:rPr>
        <w:t>because of a $5.3 million increase in Compensation and benefits expense due primarily to increased staffing for retail channel expansion and customer targeting and to the migration of certain functions in-house to reduce costs previously paid to third parties.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Reverse lending revenues of $17.4 million increased by $6.9 million, or 66%. The increase in revenue was primarily due to higher margins and increased gains from higher tail draw volume and a $14.5 million increase in origination volume as compared to the third quarter of 2015. Total expenses decreased slightly in the third quarter of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versus 2015</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Lending pre-tax income was $25.9 million, or 66%, lower in the nine months ended September 30, 2016 as compared to the same period of 2015. Pre-tax income of the forward lending operations declined by $37.8 million while pre-tax income of the reverse mortgage operations improved by $11.9 million. Our forward lending operations incurred a $1.1 million pre-tax loss for the nine months ended September 30, 2016, and our reverse mortgage operations generated pre-tax income of $14.2 million. Total loan production decreased by $24.8 million, or 1%, due to a decline of $25.2 million in reverse lending origination volume. Gains on loans held for sale, net decreased $26.0 million, or 32%, primarily due to the overall decline in reverse lending origination volume, volume declines in the forward lending retail and correspondent channels and lower margins in all forward lending channels. This was partially offset by higher volume in the forward lending wholesale channel.</w:t>
      </w:r>
    </w:p>
    <w:p>
      <w:pPr>
        <w:spacing w:after="0" w:line="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Forward lending revenues of $38.7 million for the nine months ended September 30, 2016 are $28.6 million, or 42%, lower than the same period a year ago. The decline was driven by volume declines in the retail and correspondent channels and lower margins in all channels. This was partially offset by higher volume in the wholesale channel. Total forward mortgage originations were $3.1 billion, which was slightly higher than originations during the nine months ended September 30, 2015. Forward lending expenses increased by $5.0 million as compared to the same period a year ago primarily due to an $8.9 million increase in Compensation and benefits expense due to increased staffing for retail channel expansion, systems development and the migration of certain functions in-house to reduce costs previously paid to third parties. This was partially offset by a reduction in indemnification expense.</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Reverse mortgage revenues increased by $11.1 million, or 28%, to $50.6 million for the nine months ended September 30, 2016. Total expenses decreased slightly in the nine months ended September 30, 2016 as compared to the same period of 2015. The increase in revenue was primarily due to higher overall margins and increased gains from higher tail draw volume, partially offset by a $25.2 million decrease in origination volume as compared to the nine months ended September 30, 2015.</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Corporate Items and Other includes revenues and expenses that are not directly related to other reportable segments, business activities that are individually insignificant, interest income on short-term investments of cash, interest expense on unsecured corporate debt and certain corporate expenses. Our cash balances are included in Corporate Items and Other.</w:t>
      </w:r>
    </w:p>
    <w:p>
      <w:pPr>
        <w:spacing w:after="0" w:line="73"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New business activities that are currently insignificant include providing short-term inventory-secured loans to independent used car dealerships through our ACS venture. In addition, Ocwen recently formed a wholly-owned captive reinsurance entity, CR Limited (CRL) and signed a quota share re-insurance agreement with a third-party insurer related to coverage on foreclosed real estate properties owned or serviced by Ocwen.</w:t>
      </w:r>
    </w:p>
    <w:p>
      <w:pPr>
        <w:spacing w:after="0" w:line="166"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Expenses incurred by corporate support services are also allocated to the Servicing and Lending segments.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92" w:right="239" w:bottom="1440" w:gutter="0" w:footer="0" w:header="0"/>
        </w:sectPr>
      </w:pPr>
    </w:p>
    <w:bookmarkStart w:id="70" w:name="page71"/>
    <w:bookmarkEnd w:id="70"/>
    <w:p>
      <w:pPr>
        <w:ind w:right="10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for the periods ended September 30.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8"/>
              </w:rPr>
              <w:t>Three Months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Nine Months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9,672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1360" w:type="dxa"/>
            <w:vAlign w:val="bottom"/>
            <w:gridSpan w:val="2"/>
          </w:tcPr>
          <w:p>
            <w:pPr>
              <w:ind w:left="720"/>
              <w:spacing w:after="0"/>
              <w:rPr>
                <w:sz w:val="20"/>
                <w:szCs w:val="20"/>
                <w:color w:val="auto"/>
              </w:rPr>
            </w:pPr>
            <w:r>
              <w:rPr>
                <w:rFonts w:ascii="Arial" w:cs="Arial" w:eastAsia="Arial" w:hAnsi="Arial"/>
                <w:sz w:val="18"/>
                <w:szCs w:val="18"/>
                <w:color w:val="auto"/>
              </w:rPr>
              <w:t>n/m</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22,277</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2,709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722 %</w:t>
            </w:r>
          </w:p>
        </w:tc>
        <w:tc>
          <w:tcPr>
            <w:tcW w:w="0" w:type="dxa"/>
            <w:vAlign w:val="bottom"/>
          </w:tcPr>
          <w:p>
            <w:pPr>
              <w:spacing w:after="0"/>
              <w:rPr>
                <w:sz w:val="1"/>
                <w:szCs w:val="1"/>
                <w:color w:val="auto"/>
              </w:rPr>
            </w:pP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33,290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33,112</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104,381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92,680</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1,419</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11,004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13,678</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40,511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44,480</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42,315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30,623</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164,560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97,230</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6,798</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11,748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16,873</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16,014</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27,359</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 expenses before corporate</w:t>
            </w: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overhead allocations</w:t>
            </w: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95,329</w:t>
            </w:r>
          </w:p>
        </w:tc>
        <w:tc>
          <w:tcPr>
            <w:tcW w:w="10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100,595</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345,135</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280,041</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Corporate overhead allocations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segment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(54,187)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(53,526)</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(174,902)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(171,835)</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Lending segment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(908)</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(4,073)</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39,509</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46,161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165,556</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104,133</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2,049</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(6,139)</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(6,700)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(18,446)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(19,460)</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671</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(5,951)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(16,208)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(16,740)</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(34,396)</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(51,764)</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(159,487)</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(118,164)</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versus 2015</w:t>
      </w:r>
    </w:p>
    <w:p>
      <w:pPr>
        <w:spacing w:after="0" w:line="11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$9.3 million increase in revenue is due to $8.4 million of premiums recognized by CRL in the third quarter of 2016 under a quota share reinsurance agreement with a third-party insurer. We entered into this agreement in the second quarter of 2016.</w:t>
      </w:r>
    </w:p>
    <w:p>
      <w:pPr>
        <w:spacing w:after="0" w:line="6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Total expenses decreased by $6.7 million in the third quarter of 2016 as compared to the third quarter of 2015. Declines in Other expenses of $13.5 million and Technology and communications expense of $2.7 million occurred largely because the third quarter of 2015 included $11.9 million of costs to maintain and exit the legacy ResCap servicing platform. Professional services expense increased by $11.7 million primarily due to an increase of $10.0 million to the accrual established in the second quarter of 2016 in connection with our discussions with the CA DBO regarding the possibility of resolving certain matters relating to OLS’ servicing practices and early termination of the CA DBO Consent Order and due to a $2.6 million increase in regulatory monitoring costs. The expenses we incurred for the three monitoring firms under our NY DFS, CA DBO and Ocwen National Mortgage settlements increased from $12.5 million in the third quarter of 2015 to $15.1 million in the third quarter of 2016, primarily as a result of costs related to the CA Auditor. In the third quarter of 2016, Servicing and origination expense increased $1.9 million as compared to the third quarter of 2015 due to reinsurance commissions incurred in connection with the reinsurance agreement executed by CRL.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versus 2015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$19.6 million increase in revenue is the result of $20.6 million of premiums recognized by CRL.</w:t>
      </w:r>
    </w:p>
    <w:p>
      <w:pPr>
        <w:spacing w:after="0" w:line="117"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Total expenses were $61.4 million higher in the nine months ended September 30, 2016 than the same period of 2015. Professional services expense accounted for $67.3 million of this increase as a result of a $45.5 million increase in regulatory monitoring costs, the $30.0 million charge in the second quarter of 2016 in connection with the settlement in principle of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92" w:right="239" w:bottom="1440" w:gutter="0" w:footer="0" w:header="0"/>
        </w:sectPr>
      </w:pPr>
    </w:p>
    <w:bookmarkStart w:id="71" w:name="page72"/>
    <w:bookmarkEnd w:id="71"/>
    <w:p>
      <w:pPr>
        <w:ind w:right="60"/>
        <w:spacing w:after="0" w:line="269" w:lineRule="auto"/>
        <w:rPr>
          <w:sz w:val="20"/>
          <w:szCs w:val="20"/>
          <w:color w:val="auto"/>
        </w:rPr>
      </w:pPr>
      <w:r>
        <w:rPr>
          <w:rFonts w:ascii="Arial" w:cs="Arial" w:eastAsia="Arial" w:hAnsi="Arial"/>
          <w:sz w:val="17"/>
          <w:szCs w:val="17"/>
          <w:color w:val="auto"/>
        </w:rPr>
        <w:t>Fisher Cases and the $25.0 million of charges accrued in connection with our discussions with the CA DBO regarding a possible settlement. Strategic advisor costs of $24.9 million incurred in 2015 and declines of $3.7 million both in audit and accounting fees and in general legal expenses as well as a $6.0 million decline in other professional services partially offset the effect of higher monitor and settlement expenses incurred during the nine months ended September 30, 2016. The expenses we incurred for the three monitoring firms under our NY DFS, CA DBO and Ocwen National Mortgage settlements increased from $27.8 million for the nine months ended September 30, 2015 to $73.3 million for the nine months ended September 30, 2016, primarily as a result of costs related to the CA Auditor. Our in-sourcing of technology infrastructure and facilities functions and our investment in new business ventures has increased headcount, resulting in an $11.7 million increase in Compensation and benefits expense. Servicing and origination expense increased $8.3 million because of $8.1 million of reinsurance commissions incurred in connection with the reinsurance agreement executed by CRL. Declines in Other expenses of $13.2 million and Technology and communications expense of $4.0 million were due largely to $18.3 million of costs incurred during the nine months ended September 30, 2015 to maintain and exit the legacy ResCap servicing platform. Other expenses for the nine months ended September 30, 2016 includes the CRL provision for insurance loss reserves of $3.9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At September 30, 2016, our cash position was $263.5 million compared to $257.3 million at December 31, 2015. We invest cash that is in excess of our immediate operating needs primarily in money market deposit accounts. Our priorities for deployment of excess cash are: (1) supporting our core servicing and lending businesses and investing in these core assets, (2) reducing corporate leverage, (3) reducing revolving lines of credit in order to reduce interest expense, (4) expanding into similar or complementary businesses that meet our return on capital requirements and (5) repurchasing shares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Proceeds from sales of MSRs and reimbursement of related servicing advances;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Proceeds from sales of originated loans and repurchased loans.</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ability to finance servicing advances is a significant factor that affects our liquidity. Our use of advance financing facilities is integral to our servicing advance financing strategy. The revolving notes issued by our advance funding facilities to large global financial institutions generally have a 364-day revolving period, although we issue ABS term notes to institutional investors with one-, two- and three-year periods and may in the future issue term notes with other maturities. The revolving periods for variable funding notes with a total borrowing capacity of $90.0 million end in December 2016. The revolving periods for variable funding notes with a total borrowing capacity of $580.0 million end in 2017, and $400.0 million of our two-year term notes mature in 2017.</w:t>
      </w:r>
    </w:p>
    <w:p>
      <w:pPr>
        <w:spacing w:after="0" w:line="85"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Borrowings under our advance financing facilities are incurred by special purpose entities (SPEs) that we consolidate because we have determined that Ocwen is the primary beneficiary of the SPE. We transfer the financed advances to the SPEs, and the SPEs issue debt supported by collections on the transferred advances. Holders of the debt issued by the SPEs have recourse only to the assets of the SPEs for satisfaction of the debt. In connection with our sale of servicing advances to these advance financing SPEs and to NRZ in connection with the Rights to MSRs, we make certain representations, warranties and covenants primarily focused on the nature of the transferred advance receivables, on our financial condition and on our servicing practices.</w:t>
      </w:r>
    </w:p>
    <w:p>
      <w:pPr>
        <w:spacing w:after="0" w:line="50"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Advances and match funded advances comprised 24% of total assets at September 30, 2016. Our borrowings under our advance funding facilities are secured by pledges of servicing advances that are sold to the related SPE and by cash held in debt service accounts. Since December 31, 2015, we have decreased the maximum borrowing capacity of our advance funding facilities by $155.0 million to $1.6 billion. This net decrease was the result of:</w:t>
      </w:r>
    </w:p>
    <w:p>
      <w:pPr>
        <w:spacing w:after="0" w:line="39" w:lineRule="exact"/>
        <w:rPr>
          <w:sz w:val="20"/>
          <w:szCs w:val="20"/>
          <w:color w:val="auto"/>
        </w:rPr>
      </w:pPr>
    </w:p>
    <w:p>
      <w:pPr>
        <w:ind w:left="660" w:right="160" w:hanging="328"/>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decrease in borrowing capacity under the three series of variable funding notes under our OMART advance financing facility from $1.5 billion to $1.3 billion as a result of a voluntary reduction. In addition, we issued two new series of term notes maturing in 2018 and 2019, to refinance the $500.0 million of outstanding term notes that were scheduled to mature in 2016.</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increase in the borrowing capacity of our OFAF advance financing facility from $150.0 million to $160.0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increase in the borrowing capacity of our OSART III advance financing facility from $75.0 million to $90.0 million.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92" w:right="239" w:bottom="1440" w:gutter="0" w:footer="0" w:header="0"/>
        </w:sectPr>
      </w:pPr>
    </w:p>
    <w:bookmarkStart w:id="72" w:name="page73"/>
    <w:bookmarkEnd w:id="72"/>
    <w:p>
      <w:pPr>
        <w:ind w:right="300" w:firstLine="324"/>
        <w:spacing w:after="0" w:line="264" w:lineRule="auto"/>
        <w:rPr>
          <w:sz w:val="20"/>
          <w:szCs w:val="20"/>
          <w:color w:val="auto"/>
        </w:rPr>
      </w:pPr>
      <w:r>
        <w:rPr>
          <w:rFonts w:ascii="Arial" w:cs="Arial" w:eastAsia="Arial" w:hAnsi="Arial"/>
          <w:sz w:val="18"/>
          <w:szCs w:val="18"/>
          <w:color w:val="auto"/>
        </w:rPr>
        <w:t>During 2015, our investment in advances and match funded advances declined by $1.2 billion, principally as a result of sales of MSRs and the reimbursement of related advances, which allowed us to negotiate a $650.0 million reduction in the maximum borrowing capacity of our advance funding facilities from the $2.4 billion of capacity that was available at December 31, 2014.</w:t>
      </w:r>
    </w:p>
    <w:p>
      <w:pPr>
        <w:spacing w:after="0" w:line="7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unused advance borrowing capacity increased by $63.5 million to $204.5 million at September 30, 2016 as compared to December 31, 2015, principally because of a decrease in borrowing, as total advances and match funded advances (before allowance for losses) declined by $322.7 million during the same period. Our ability to continue to pledge collateral under each advance financing facility depends on the performance of the collateral, among other factors. At September 30, 2016, none of the available borrowing capacity could be used based on the amount of available collateral.</w:t>
      </w:r>
    </w:p>
    <w:p>
      <w:pPr>
        <w:spacing w:after="0" w:line="6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use mortgage loan warehouse facilities to fund newly originated loans on a short-term basis until they are sold to secondary market investors, including GSEs or other third-party investors. These warehouse facilities are structured as repurchase agreements or participation agreements under which ownership of the loans is temporarily transferred to a lender. The loans are transferred at a discount or “haircut” which serves as the primary credit enhancement for the lender. Currently, all of our master repurchase and participation agreements for financing new loan originations have a maximum of 364-day terms. The funds are repaid using the proceeds from the sale of the loans to the secondary market investors, usually within 30 days. At September 30, 2016, we had total borrowing capacity under our warehouse facilities of $660.0 million. Of the borrowing capacity extended on a committed basis, $96.5 million was available at September 30, 2016, including our warehouse facilities for reverse mortgages. Of the borrowing capacity extended on an uncommitted basis or at the discretion of the lender, $225.1 million remained available at September 30, 2016. At September 30, 2016, none of the available borrowing capacity could be used based on the amount of eligible collateral that had been pledged. See Note 11 – Borrowings to the Unaudited Consolidated Financial Statements for additional details.</w:t>
      </w:r>
    </w:p>
    <w:p>
      <w:pPr>
        <w:spacing w:after="0" w:line="178"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14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noncompliance with our covenants, nonpayment of principal or interest, material misrepresentations, the occurrence of a material adverse change, insolvency, bankruptcy, certain material judgments and litigation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Funding of originated and repurchased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Working capital and other general corporate purposes.</w:t>
      </w:r>
    </w:p>
    <w:p>
      <w:pPr>
        <w:spacing w:after="0" w:line="103"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Under the terms of our SSTL facility agreement, subject to certain exceptions, we are required to prepay the SSTL with 100% of the net cash proceeds from certain permitted asset sales, which have generally included our recent MSR sales and may include future sales. During the year ended December 31, 2015, we prepaid $865.8 million of the SSTL facility, including $585.8 million of prepayments from the net proceeds from the sales of MSRs and $280.0 million of voluntary prepayments. During the nine months ended September 30, 2016, we made additional prepayments of $45.9 million, all of which were from the net proceeds from the sales of MSRs.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692" w:right="259" w:bottom="1440" w:gutter="0" w:footer="0" w:header="0"/>
        </w:sectPr>
      </w:pPr>
    </w:p>
    <w:bookmarkStart w:id="73" w:name="page74"/>
    <w:bookmarkEnd w:id="73"/>
    <w:p>
      <w:pPr>
        <w:ind w:right="480" w:firstLine="324"/>
        <w:spacing w:after="0" w:line="342" w:lineRule="auto"/>
        <w:rPr>
          <w:sz w:val="20"/>
          <w:szCs w:val="20"/>
          <w:color w:val="auto"/>
        </w:rPr>
      </w:pPr>
      <w:r>
        <w:rPr>
          <w:rFonts w:ascii="Arial" w:cs="Arial" w:eastAsia="Arial" w:hAnsi="Arial"/>
          <w:sz w:val="16"/>
          <w:szCs w:val="16"/>
          <w:color w:val="auto"/>
        </w:rPr>
        <w:t>Under our $500.0 million share repurchase program announced in October 2013, we completed the repurchase of 991,985 shares of common stock during 2016 (all during the first quarter) for a total purchase price of $5.9 million. The share repurchase program expired on July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assessing our liquidity outlook, our primary focus is on six measures:</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financial projections for revenues, costs and net income;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amounts generated from maturing assets and operating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Projected future sales of MSRs and reimbursement of servicing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Projected future originations and purchases of forward and reverse mortgage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Projected funding requirements of new business initiatives.</w:t>
      </w:r>
    </w:p>
    <w:p>
      <w:pPr>
        <w:spacing w:after="0" w:line="1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considered the impact of financial projections on our liquidity analysis and have evaluated the appropriateness of the key assumptions in our forecast such as revenues, overhead expenses, recurring and nonrecurring costs and sales of MSRs and other assets. We have analyzed our cash requirements and financial obligations. Based upon these evaluations and analyses, we believe that we have ample liquidity to meet our obligations and fund our operations for the next twelve months.</w:t>
      </w:r>
    </w:p>
    <w:p>
      <w:pPr>
        <w:spacing w:after="0" w:line="7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are required to maintain certain minimum levels of cash under our debt agreements and in the ordinary course, portions of our cash balances are held in our non-U.S. subsidiaries. This means that we would have to repatriate that cash, potentially with tax consequences and in compliance with applicable laws, should we wish to utilize that cash in the U.S.</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revolving period of our advance funding facilities ends in 2016 for variable funding notes with a total borrowing capacity of $90.0 million and a total outstanding balance of $71.2 million at September 30, 2016. The revolving period for the remaining variable funding notes with a total borrowing capacity of $580.0 million ends in 2017. In the event we are unable to renew, replace or extend the revolving period of one or more of these advance funding facilities, monthly amortization of the outstanding balance must generally begin at the end of the respective 364-day revolving period. In addition, we would be required to begin amortizing our two-year term notes with a borrowing capacity of $400.0 million if we do not renew, replace or extend these notes before November 2017.</w:t>
      </w:r>
    </w:p>
    <w:p>
      <w:pPr>
        <w:spacing w:after="0" w:line="8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At September 30, 2016, we had $338.5 million outstanding under our mortgage loan warehouse facilities, of which $164.3 million is outstanding under an agreement maturing in the fourth quarter of 2016. We currently expect that we will be able to renew, replace or extend our debt agreements as they become due, consistent with our historical experience.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remain actively engaged with our lenders, and 2016 financing developments include the following:</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January 5, 2016, we entered into a new one-year $100.0 million mortgage loan warehouse facility to fund the origination of reverse mortgages.</w:t>
      </w:r>
    </w:p>
    <w:p>
      <w:pPr>
        <w:spacing w:after="0" w:line="46" w:lineRule="exact"/>
        <w:rPr>
          <w:rFonts w:ascii="Arial" w:cs="Arial" w:eastAsia="Arial" w:hAnsi="Arial"/>
          <w:sz w:val="16"/>
          <w:szCs w:val="16"/>
          <w:color w:val="auto"/>
        </w:rPr>
      </w:pPr>
    </w:p>
    <w:p>
      <w:pPr>
        <w:ind w:left="660" w:right="62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Effective March 24, 2016 we entered into an amendment to our SSTL that, among other things, removed in their entirety or amended certain financial covenants for the remaining term of the SSTL. The amendment also required a prepayment of $6.3 million on May 31, 2016, with additional prepayments of the same amount due on July 29, 2016 and September 30, 2016.</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March 31, 2016, we increased the borrowing capacity of our OFAF advance financing facility from $150.0 million to $160.0 million. On June 10, 2016, we renewed this facility for an additional year.</w:t>
      </w: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March 31, 2016, we increased the borrowing capacity of our OSART III advance financing facility from $75.0 million to $90.0 million.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April 26, 2016, we extended the term of two of our Lending warehouse facilities to April 30, 2017.</w:t>
      </w:r>
    </w:p>
    <w:p>
      <w:pPr>
        <w:spacing w:after="0" w:line="9" w:lineRule="exact"/>
        <w:rPr>
          <w:rFonts w:ascii="Arial" w:cs="Arial" w:eastAsia="Arial" w:hAnsi="Arial"/>
          <w:sz w:val="18"/>
          <w:szCs w:val="18"/>
          <w:color w:val="auto"/>
        </w:rPr>
      </w:pPr>
    </w:p>
    <w:p>
      <w:pPr>
        <w:ind w:left="660" w:right="100" w:hanging="328"/>
        <w:spacing w:after="0" w:line="265"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August 12, 2016, we reduced the borrowing capacity of our OMART advance financing facility by $180.0 million by reducing the maximum borrowing available under the three series of variable funding notes that were also renewed for a year. In addition, we issued two new series of term notes, maturing in 2018 and 2019, to refinance $500.0 million of outstanding term notes that were scheduled to mature in 2016.</w:t>
      </w:r>
    </w:p>
    <w:p>
      <w:pPr>
        <w:ind w:left="660" w:right="58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August 30, 2016, we entered into a new $60.0 million mortgage loan warehouse facility to fund the origination of reverse mortgages, and renewed an existing mortgage loan warehouse facility for a year after reducing its capacity to $50.0 million.</w:t>
      </w:r>
    </w:p>
    <w:p>
      <w:pPr>
        <w:ind w:left="660" w:right="40" w:hanging="328"/>
        <w:spacing w:after="0" w:line="26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September 29, 2016, we renewed a $100.0 million Servicing warehouse facility and extended the term to September 28, 2017. On September 30, 2016, we extended the term of a $200.0 million Lending warehouse facility to November 30, 2016.</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692" w:right="259" w:bottom="1440" w:gutter="0" w:footer="0" w:header="0"/>
        </w:sectPr>
      </w:pPr>
    </w:p>
    <w:bookmarkStart w:id="74" w:name="page75"/>
    <w:bookmarkEnd w:id="74"/>
    <w:p>
      <w:pPr>
        <w:ind w:right="20" w:firstLine="324"/>
        <w:spacing w:after="0" w:line="276" w:lineRule="auto"/>
        <w:rPr>
          <w:sz w:val="20"/>
          <w:szCs w:val="20"/>
          <w:color w:val="auto"/>
        </w:rPr>
      </w:pPr>
      <w:r>
        <w:rPr>
          <w:rFonts w:ascii="Arial" w:cs="Arial" w:eastAsia="Arial" w:hAnsi="Arial"/>
          <w:sz w:val="17"/>
          <w:szCs w:val="17"/>
          <w:color w:val="auto"/>
        </w:rPr>
        <w:t>Our liquidity forecast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If we were to default under any of our debt agreements, it could become very difficult for us to renew, replace or extend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Credit ratings are intended to be an indicator of the creditworthiness of a particular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ind w:left="1380"/>
              <w:spacing w:after="0"/>
              <w:rPr>
                <w:sz w:val="20"/>
                <w:szCs w:val="20"/>
                <w:color w:val="auto"/>
              </w:rPr>
            </w:pPr>
            <w:r>
              <w:rPr>
                <w:rFonts w:ascii="Arial" w:cs="Arial" w:eastAsia="Arial" w:hAnsi="Arial"/>
                <w:sz w:val="18"/>
                <w:szCs w:val="18"/>
                <w:b w:val="1"/>
                <w:bCs w:val="1"/>
                <w:color w:val="auto"/>
              </w:rPr>
              <w:t>Rating Agency</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Long-term Corporate Rating</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Review Status / Outlook</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Date of last action</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Moody’s</w:t>
            </w:r>
          </w:p>
        </w:tc>
        <w:tc>
          <w:tcPr>
            <w:tcW w:w="25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B3</w:t>
            </w:r>
          </w:p>
        </w:tc>
        <w:tc>
          <w:tcPr>
            <w:tcW w:w="25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Negative</w:t>
            </w:r>
          </w:p>
        </w:tc>
        <w:tc>
          <w:tcPr>
            <w:tcW w:w="23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Jun. 7, 2016</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Stable</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Dec. 23, 2015</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Fitch</w:t>
            </w:r>
          </w:p>
        </w:tc>
        <w:tc>
          <w:tcPr>
            <w:tcW w:w="25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B-</w:t>
            </w:r>
          </w:p>
        </w:tc>
        <w:tc>
          <w:tcPr>
            <w:tcW w:w="25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Stable</w:t>
            </w:r>
          </w:p>
        </w:tc>
        <w:tc>
          <w:tcPr>
            <w:tcW w:w="23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Jun. 21, 2016</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Kroll Bond Rating Agency</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B+</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Stable</w:t>
            </w:r>
          </w:p>
        </w:tc>
        <w:tc>
          <w:tcPr>
            <w:tcW w:w="2380" w:type="dxa"/>
            <w:vAlign w:val="bottom"/>
          </w:tcPr>
          <w:p>
            <w:pPr>
              <w:jc w:val="center"/>
              <w:spacing w:after="0"/>
              <w:rPr>
                <w:sz w:val="20"/>
                <w:szCs w:val="20"/>
                <w:color w:val="auto"/>
              </w:rPr>
            </w:pPr>
            <w:r>
              <w:rPr>
                <w:rFonts w:ascii="Arial" w:cs="Arial" w:eastAsia="Arial" w:hAnsi="Arial"/>
                <w:sz w:val="18"/>
                <w:szCs w:val="18"/>
                <w:color w:val="auto"/>
                <w:w w:val="86"/>
              </w:rPr>
              <w:t>Jan. 4, 2016</w:t>
            </w:r>
          </w:p>
        </w:tc>
      </w:tr>
    </w:tbl>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Moody’s downgraded our corporate rating to “B3” from “B2” on June 7, 2016. On December 23, 2015, S&amp;P changed its outlook from negative to stable. On June 21, 2016, Fitch affirmed our corporate rating and our stable outlook. On January 4, 2016, Kroll Bond Ratings initiated its corporate bond rating at B+ with a stable outlook. It is possible that additional actions by credit rating agencies could have a material adverse impact on our liquidity and funding position, including materially changing the terms on which we may be able to borrow money.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operating cash flow is primarily impacted by the receipt of servicing fees, changes in our servicing advance balances, operating losses, the level of new loan production and the timing of sales and securitizations of forward mortgage loans. To the extent we sell MSRs related to delinquent loans, we accelerate the recovery of the related advances. We also receive any outstanding deferred servicing fees upon termination of a servicing agreement. We classify proceeds from the sale of servicing advances, including advances sold in connection with the sale of MSRs, as investing activity in the statement of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2016</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operating activities provided $350.4 million of cash largely due to $343.1 million of net collections of servicing advances. Net cash paid on loans held for sale was $81.4 million for the nine months ended September 30, 2016.</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investing activities used $572.2 million of cash. Investing activities include cash outflows in connection with our reverse mortgage originations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 billion, additions to premises and equipment of $28.6 million and purchases of MSRs for $16.0 million. Cash inflows include the receipt of $45.3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net proceeds from the sale of MSRs, $75.0 million of proceeds from the sale of advances and $528.3 million of collections on reverse mortgages.</w:t>
      </w:r>
    </w:p>
    <w:p>
      <w:pPr>
        <w:spacing w:after="0" w:line="114"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Our financing activities provided $228.0 million of cash. Cash inflows include $820.4 million received in connection with our reverse mortgage securitizations, which are accounted for as secured financings, less repayments on the related financing liability of $162.0 million. Cash outflows include $218.5 million of net repayments on match funded liabilities from net advance recoveries and $74.7 million of repayments on the SSTL, including $45.9 million of prepayments in connection with MSR sales. Cash outflows for the nine months ended September 30, 2016 also include the repurchase of 991,985 shares of common stock under our stock repurchase program for $5.9 million prior to its expiration on July 31, 2016.</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2015</w:t>
      </w:r>
    </w:p>
    <w:p>
      <w:pPr>
        <w:spacing w:after="0" w:line="11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operating activities provided $774.0 million of cash largely due to $491.7 million of net collections of servicing advances and $222.1 million of net proceeds from sales and collections of loans held for sale.</w:t>
      </w:r>
    </w:p>
    <w:p>
      <w:pPr>
        <w:spacing w:after="0" w:line="62"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Our investing activities provided $189.0 million of cash. Cash inflows for the nine months ended September 30, 2015 include the receipt of $598.1 million of proceeds from the sale of Agency MSRs, $285.9 million of proceeds from the sale of advances and $105.5 million of collections on reverse mortgages. Investing activities include cash outflows in connection with our reverse mortgage originations of $781.0 million.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92" w:right="239" w:bottom="1440" w:gutter="0" w:footer="0" w:header="0"/>
        </w:sectPr>
      </w:pPr>
    </w:p>
    <w:bookmarkStart w:id="75" w:name="page76"/>
    <w:bookmarkEnd w:id="75"/>
    <w:p>
      <w:pPr>
        <w:ind w:right="180" w:firstLine="324"/>
        <w:spacing w:after="0" w:line="297" w:lineRule="auto"/>
        <w:rPr>
          <w:sz w:val="20"/>
          <w:szCs w:val="20"/>
          <w:color w:val="auto"/>
        </w:rPr>
      </w:pPr>
      <w:r>
        <w:rPr>
          <w:rFonts w:ascii="Arial" w:cs="Arial" w:eastAsia="Arial" w:hAnsi="Arial"/>
          <w:sz w:val="16"/>
          <w:szCs w:val="16"/>
          <w:color w:val="auto"/>
        </w:rPr>
        <w:t>Our financing activities used $633.8 million of cash. Cash outflows were primarily comprised of $500.4 million of net repayments on match funded liabilities from net advance recoveries, $571.3 million of repayments on the SSTL (including $337.9 million of prepayments in connection with MSR sales) and a $156.4 million net reduction in borrowings under mortgage warehouse facilities used to fund loan originations. Cash outflows for the nine months ended September 30, 2015 also include $18.6 million of costs incurred in connection with amendments to the SSTL. These cash outflows were offset by $803.9 million received in connection with our reverse mortgage securitizations, which are accounted for as secured financings.</w:t>
      </w:r>
    </w:p>
    <w:p>
      <w:pPr>
        <w:spacing w:after="0" w:line="46" w:lineRule="exact"/>
        <w:rPr>
          <w:sz w:val="20"/>
          <w:szCs w:val="20"/>
          <w:color w:val="auto"/>
        </w:rPr>
      </w:pPr>
    </w:p>
    <w:p>
      <w:pPr>
        <w:ind w:right="4680"/>
        <w:spacing w:after="0" w:line="378"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ind w:right="220" w:firstLine="324"/>
        <w:spacing w:after="0" w:line="273" w:lineRule="auto"/>
        <w:rPr>
          <w:sz w:val="20"/>
          <w:szCs w:val="20"/>
          <w:color w:val="auto"/>
        </w:rPr>
      </w:pPr>
      <w:r>
        <w:rPr>
          <w:rFonts w:ascii="Arial" w:cs="Arial" w:eastAsia="Arial" w:hAnsi="Arial"/>
          <w:sz w:val="17"/>
          <w:szCs w:val="17"/>
          <w:color w:val="auto"/>
        </w:rPr>
        <w:t>We have analyzed our unfunded commitments and other contractual obligations and have evaluated the appropriateness of the key assumptions in forecasting our ability to satisfy these obligations. Based upon these evaluations and analyses, we believe that we have adequate resources to fund all unfunded commitments to the extent required and meet all contractual obligations as they come due. At September 30, 2016, such contractual obligations were primarily comprised of secured and unsecured borrowings, interest payments, operating leases and commitments to originate or purchase loans. Other than renewals and amendments related to our advance financing facilities, SSTL and other secured borrowings, there were no significant changes to our contractual obligations during the nine months ended September 30, 2016.</w:t>
      </w:r>
    </w:p>
    <w:p>
      <w:pPr>
        <w:spacing w:after="0" w:line="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forecasting with respect to our ability to satisfy our contractual obligations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and if this were to occur, it could have a material adverse effect on our business, financial condition, liquidity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SPEs (a type of VIE) and notional amounts of our derivatives. We have also entered into non-cancelable operating leases principally for our office facilities.</w:t>
      </w:r>
    </w:p>
    <w:p>
      <w:pPr>
        <w:spacing w:after="0" w:line="8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 xml:space="preserve">Mortgage Loan Repurchase and Indemnification Liabilities. </w:t>
      </w:r>
      <w:r>
        <w:rPr>
          <w:rFonts w:ascii="Arial" w:cs="Arial" w:eastAsia="Arial" w:hAnsi="Arial"/>
          <w:sz w:val="17"/>
          <w:szCs w:val="17"/>
          <w:color w:val="auto"/>
        </w:rPr>
        <w:t>We have exposure to representation, warranty and indemnification obligations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w:t>
      </w:r>
    </w:p>
    <w:p>
      <w:pPr>
        <w:spacing w:after="0" w:line="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underlying trends for loan repurchases and indemnifications are volatile, and there is significant uncertainty regarding our expectations of future loan repurchases and indemnifications and related loss severities. Due to the significant uncertainties surrounding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a decline in home values, then our realized losses from loan repurchases and indemnifications may ultimately be in excess of our recorded liability. Given the levels of realized losses in recent periods, there is a reasonable possibility that future losses may be in excess of our recorded liability. See Note 2 – Securitizations and Variable Interest Entities, Note 12 – Other Liabilities and Note 19 – Contingencies to the Unaudited Consolidated Financial Statements for additional information.</w:t>
      </w:r>
    </w:p>
    <w:p>
      <w:pPr>
        <w:spacing w:after="0" w:line="19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We consolidate the servicing advance financing SPEs.</w:t>
      </w:r>
    </w:p>
    <w:p>
      <w:pPr>
        <w:spacing w:after="0" w:line="6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692" w:right="239" w:bottom="1440" w:gutter="0" w:footer="0" w:header="0"/>
        </w:sectPr>
      </w:pPr>
    </w:p>
    <w:bookmarkStart w:id="76" w:name="page77"/>
    <w:bookmarkEnd w:id="76"/>
    <w:p>
      <w:pPr>
        <w:ind w:firstLine="324"/>
        <w:spacing w:after="0" w:line="25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If we determine that we are the primary beneficiary of a VIE, we include the VIE in our consolidated financial statements. We have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 the obligation for servicing and for standard representations and warranties on the loans. See Note 2 – Securitizations and Variable Interest Entities to the Unaudited Consolidated Financial Statements for additional information.</w:t>
      </w:r>
    </w:p>
    <w:p>
      <w:pPr>
        <w:spacing w:after="0" w:line="8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derivatives at fair value on our consolidated balance sheets. We use these derivatives primarily to manage our 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The notional amounts of our derivative contracts do not reflect our exposure to credit loss. See Note 13 – Derivative Financial Instruments and Hedging Activities to the Unaudited Consolidated Financial Statements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on the basis of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with the Audit Committee of the Board of Directors. Our significant accounting policies and critical accounting estimates are disclosed in our Annual Report on Form 10-K for the year ended December 31, 2015 in Note 1 to the Consolidated Financial Statements and in Management’s Discussion and Analysis of Financial Condition and Results of Operations under “Critical Accounting Policies and Estimates.”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use fair value measurements to record fair value adjustments to certain instruments and to determine fair value disclosures. Refer to Note 3 – Fair Value to the Unaudited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in order to prioritize the inputs utilized to measure fair value. We review and modify, as necessary, our fair value hierarchy classifications on a quarterly basis. As such, there may be reclassifications between hierarchy levels.</w:t>
      </w:r>
    </w:p>
    <w:p>
      <w:pPr>
        <w:spacing w:after="0" w:line="16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82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339,765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414,046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18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3,339,641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2,488,253</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 recurring basis</w:t>
            </w: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696,108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761,190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MSRs - nonrecurring basis, net (1)</w:t>
            </w:r>
          </w:p>
        </w:tc>
        <w:tc>
          <w:tcPr>
            <w:tcW w:w="18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117,940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129,120</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assets</w:t>
            </w: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11,620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8,417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8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9,040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7,985</w:t>
            </w:r>
          </w:p>
        </w:tc>
      </w:tr>
      <w:tr>
        <w:trPr>
          <w:trHeight w:val="27"/>
        </w:trPr>
        <w:tc>
          <w:tcPr>
            <w:tcW w:w="82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Assets at fair value</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4,514,114</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3,809,011</w:t>
            </w: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As a percentage of total assets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3,719,142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2,933,066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Liabilities at fair value</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3,721,667</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2,933,066</w:t>
            </w: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As a percentage of total liabilities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4,201,173</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3,493,582</w:t>
            </w: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3,719,142</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2,933,066</w:t>
            </w: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25" w:lineRule="exact"/>
        <w:rPr>
          <w:sz w:val="20"/>
          <w:szCs w:val="20"/>
          <w:color w:val="auto"/>
        </w:rPr>
      </w:pPr>
    </w:p>
    <w:p>
      <w:pPr>
        <w:ind w:left="500" w:right="120" w:hanging="492"/>
        <w:spacing w:after="0" w:line="310" w:lineRule="auto"/>
        <w:tabs>
          <w:tab w:leader="none" w:pos="5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balance represents our impaired government-insured stratum of amortization method MSRs, which is measured at fair value on a nonrecurring basis. The carrying value of this stratum is net of a valuation allowance of $54.5 million and $17.3 million at September 30, 2016 and December 31, 2015,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92" w:right="239" w:bottom="1440" w:gutter="0" w:footer="0" w:header="0"/>
        </w:sectPr>
      </w:pPr>
    </w:p>
    <w:bookmarkStart w:id="77" w:name="page78"/>
    <w:bookmarkEnd w:id="77"/>
    <w:p>
      <w:pPr>
        <w:ind w:right="80" w:firstLine="324"/>
        <w:spacing w:after="0" w:line="257" w:lineRule="auto"/>
        <w:rPr>
          <w:sz w:val="20"/>
          <w:szCs w:val="20"/>
          <w:color w:val="auto"/>
        </w:rPr>
      </w:pPr>
      <w:r>
        <w:rPr>
          <w:rFonts w:ascii="Arial" w:cs="Arial" w:eastAsia="Arial" w:hAnsi="Arial"/>
          <w:sz w:val="18"/>
          <w:szCs w:val="18"/>
          <w:color w:val="auto"/>
        </w:rPr>
        <w:t>Assets at fair value using Level 3 inputs increased during the nine months ended September 30, 2016 primarily due to reverse mortgage originations.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w:t>
      </w:r>
    </w:p>
    <w:p>
      <w:pPr>
        <w:spacing w:after="0" w:line="8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have numerous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We recognized $37.2 million of impairment charges on our government-insured MSRs during the nine months ended September 30, 2016 (net of a $1.9 million reversal during the third quarter), as the fair value for this stratum declined to less than its carrying value. The year to date impairment was primarily due to lower interest rates. The carrying value of this stratum at September 30, 2016 was $117.9 million, net of the valuation allowance of $54.5 million. MSR impairment charges are recognized in Servicing and origination expense in the Unaudited Consolidated Statements of Operations.</w:t>
      </w:r>
    </w:p>
    <w:p>
      <w:pPr>
        <w:spacing w:after="0" w:line="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estimate the fair value of our MSRs by using a process that is based on the use of independent third-party valuation experts, and supported by commercially available discounted cash flow models and analysis of current market data to arrive at an estimate of fair value. The key assumptions used in the valuation of these MSRs include prepayment speeds, loan delinquency and discount rates.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13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27"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11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a result of these evaluations, as of December 31, 2015, we recorded a full valuation allowance for the $84.5 million of U.S. net deferred tax assets and for the $17.4 million of USVI net deferred tax assets as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692" w:right="259" w:bottom="1440" w:gutter="0" w:footer="0" w:header="0"/>
        </w:sectPr>
      </w:pPr>
    </w:p>
    <w:bookmarkStart w:id="78" w:name="page79"/>
    <w:bookmarkEnd w:id="78"/>
    <w:p>
      <w:pPr>
        <w:ind w:right="240"/>
        <w:spacing w:after="0" w:line="259" w:lineRule="auto"/>
        <w:rPr>
          <w:sz w:val="20"/>
          <w:szCs w:val="20"/>
          <w:color w:val="auto"/>
        </w:rPr>
      </w:pPr>
      <w:r>
        <w:rPr>
          <w:rFonts w:ascii="Arial" w:cs="Arial" w:eastAsia="Arial" w:hAnsi="Arial"/>
          <w:sz w:val="18"/>
          <w:szCs w:val="18"/>
          <w:color w:val="auto"/>
        </w:rPr>
        <w:t>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adopted each recent Accounting Standards Update (ASU) listed below on January 1, 2016. Our adoption of these standards did not have a material impact on our Unaudited Consolidated Financial Statements.</w:t>
      </w:r>
    </w:p>
    <w:p>
      <w:pPr>
        <w:spacing w:after="0" w:line="6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Consolidation: Measuring the Financial Assets and the Financial Liabilities of a Consolidated Collateralized Financing Entity (ASU 2014-13)</w:t>
      </w:r>
    </w:p>
    <w:p>
      <w:pPr>
        <w:spacing w:after="0" w:line="34" w:lineRule="exact"/>
        <w:rPr>
          <w:rFonts w:ascii="Arial" w:cs="Arial" w:eastAsia="Arial" w:hAnsi="Arial"/>
          <w:sz w:val="17"/>
          <w:szCs w:val="17"/>
          <w:color w:val="auto"/>
        </w:rPr>
      </w:pPr>
    </w:p>
    <w:p>
      <w:pPr>
        <w:ind w:left="660" w:right="34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Income Statement—Extraordinary and Unusual Items: Simplifying Income Statement Presentation by Eliminating the Concept of Extraordinary Items (ASU 2015-01)</w:t>
      </w: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Consolidation—Amendments to the Consolidation Analysis (ASU 2015-02)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Interest—Imputation of Interest: Simplifying the Presentation of Debt Issuance Costs (ASU 2015-03)</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Intangibles—Goodwill and Other—Internal-Use Software: Customer’s Accounting for Fees Paid in a Cloud Computing Arrangement (ASU 2015-05)</w:t>
      </w:r>
    </w:p>
    <w:p>
      <w:pPr>
        <w:ind w:left="660" w:hanging="328"/>
        <w:spacing w:after="0" w:line="26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Interest—Imputation of Interest: Presentation and Subsequent Measurement of Debt Issuance Costs Associated with Line-of-Credit Arrangements— Amendments to SEC Paragraphs Pursuant to Staff Announcement at June 18, 2015 EITF Meeting (ASU 2015-15)</w:t>
      </w:r>
    </w:p>
    <w:p>
      <w:pPr>
        <w:spacing w:after="0" w:line="7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are also evaluating the impact of recently issued ASUs not yet adopted that are not effective for us until on or after January 1, 2017. We do not anticipate that our adoption of these ASUs will have a material impact on our consolidated financial statements.</w:t>
      </w:r>
    </w:p>
    <w:p>
      <w:pPr>
        <w:spacing w:after="0" w:line="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 (Dollars in thousands unless otherwise indicated)</w:t>
      </w:r>
    </w:p>
    <w:p>
      <w:pPr>
        <w:spacing w:after="0" w:line="121"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including advance financing facilities.</w:t>
      </w:r>
    </w:p>
    <w:p>
      <w:pPr>
        <w:spacing w:after="0" w:line="3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Market Risk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See Note 13 – Derivative Financial Instruments and Hedging Activities to the Unaudited Consolidated Financial Statements for additional information regarding our use of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monitor the effect of increases in interest rates on the interest paid on our variable rate advance financing debt. Earnings on cash and float balances are a partial offset to our exposure to changes in interest expense. To the extent the projected excess of our variable rate debt over cash and float balances require, we would consider hedging this exposure with interest rate swaps or other derivative instruments. We may purchase interest rate caps as economic hedges (not designated as a hedge for accounting purposes) as required by certain of our advance financing arrangements.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IRLCs and Loans Held for Sale</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692" w:right="279" w:bottom="1440" w:gutter="0" w:footer="0" w:header="0"/>
        </w:sectPr>
      </w:pPr>
    </w:p>
    <w:bookmarkStart w:id="79" w:name="page80"/>
    <w:bookmarkEnd w:id="79"/>
    <w:p>
      <w:pPr>
        <w:spacing w:after="0" w:line="273" w:lineRule="auto"/>
        <w:rPr>
          <w:sz w:val="20"/>
          <w:szCs w:val="20"/>
          <w:color w:val="auto"/>
        </w:rPr>
      </w:pPr>
      <w:r>
        <w:rPr>
          <w:rFonts w:ascii="Arial" w:cs="Arial" w:eastAsia="Arial" w:hAnsi="Arial"/>
          <w:sz w:val="17"/>
          <w:szCs w:val="17"/>
          <w:color w:val="auto"/>
        </w:rPr>
        <w:t>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15 days (in the correspondent and broker channels) or 60 days (for the retail channel). Our holding period for mortgage loans from funding to sale is typically less than 30 days. Our interest rate exposure on these derivative loan commitments is hedged with freestanding derivatives such as forward contracts. We enter into forward contracts with respect to both fixed and variable rate loan commitments.</w:t>
      </w:r>
    </w:p>
    <w:p>
      <w:pPr>
        <w:spacing w:after="0" w:line="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MSRs</w:t>
      </w:r>
    </w:p>
    <w:p>
      <w:pPr>
        <w:spacing w:after="0" w:line="12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have elected to account for two classes of MSRs at fair value. The first is a class of Agency MSRs, principally originated during 2012, for which we hedged the interest rate risk because the mortgage notes underlying the MSRs permit the borrowers to prepay the loans. Effective April 1, 2013, we modified our strategy for managing the risks of the portfolio of loans underlying this class of fair value MSRs and closed out the remaining economic hedge positions associated with this class. We terminated these hedges because we determined that they were ineffective for large movements in interest rates and only assured losses in substantial increasing-rate environments. The second class of MSRs at fair value was designated on January 1, 2015, when we elected fair value accounting for a newly created class of non-Agency MSRs that we previously accounted for using the amortization method.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Sensitive Financial Instruments</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 See Note 3 – Fair Value to the Unaudited Consolidated Financial Statements for additional information regarding fair value of financial instruments.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660"/>
              <w:spacing w:after="0"/>
              <w:rPr>
                <w:sz w:val="20"/>
                <w:szCs w:val="20"/>
                <w:color w:val="auto"/>
              </w:rPr>
            </w:pPr>
            <w:r>
              <w:rPr>
                <w:rFonts w:ascii="Arial" w:cs="Arial" w:eastAsia="Arial" w:hAnsi="Arial"/>
                <w:sz w:val="18"/>
                <w:szCs w:val="18"/>
                <w:b w:val="1"/>
                <w:bCs w:val="1"/>
                <w:color w:val="auto"/>
              </w:rPr>
              <w:t>September 30, 2016</w:t>
            </w:r>
          </w:p>
        </w:tc>
        <w:tc>
          <w:tcPr>
            <w:tcW w:w="140" w:type="dxa"/>
            <w:vAlign w:val="bottom"/>
          </w:tcPr>
          <w:p>
            <w:pPr>
              <w:spacing w:after="0"/>
              <w:rPr>
                <w:sz w:val="20"/>
                <w:szCs w:val="20"/>
                <w:color w:val="auto"/>
              </w:rPr>
            </w:pPr>
          </w:p>
        </w:tc>
        <w:tc>
          <w:tcPr>
            <w:tcW w:w="29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Assets: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Interest-earning 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106,682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106,682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67,001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67,001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302,114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302,114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Loans held for sale, at lower of cost or fair value (1)</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37,651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37,651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104,992</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 Reverse mortgages,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3,339,641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3,339,641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Debt service accounts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40,020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87,328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87,328</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rate-sensitive assets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3,826,108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3,826,108</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3,056,628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3,056,628</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1,365,532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1,364,988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1,584,049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1,581,786</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HMBS-related borrowings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3,224,610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3,224,610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2,391,362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2,391,362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secured borrowings (2)</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663,170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674,257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762,411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783,276</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unsecured notes (2)</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346,511</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312,946</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345,511</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318,063</w:t>
            </w: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rate-sensitive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5,599,823</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5,576,801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5,083,333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5,074,487</w:t>
            </w:r>
          </w:p>
        </w:tc>
      </w:tr>
      <w:tr>
        <w:trPr>
          <w:trHeight w:val="122"/>
        </w:trPr>
        <w:tc>
          <w:tcPr>
            <w:tcW w:w="5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 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Notional</w:t>
            </w:r>
          </w:p>
        </w:tc>
        <w:tc>
          <w:tcPr>
            <w:tcW w:w="32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Notional</w:t>
            </w:r>
          </w:p>
        </w:tc>
        <w:tc>
          <w:tcPr>
            <w:tcW w:w="32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3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3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7"/>
        </w:trPr>
        <w:tc>
          <w:tcPr>
            <w:tcW w:w="51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Derivative Financial Instruments: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Derivative assets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rate caps</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1,060,000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793</w:t>
            </w:r>
          </w:p>
        </w:tc>
        <w:tc>
          <w:tcPr>
            <w:tcW w:w="36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2,110,000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IRLCs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490,014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278,317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6,080</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MBS trades</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726,017</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632,720</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w:t>
            </w: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Derivatives, net</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8,417</w:t>
            </w: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Net of market valuation allowances and including non-performing loans.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and Related Derivatives</w:t>
      </w:r>
    </w:p>
    <w:p>
      <w:pPr>
        <w:spacing w:after="0" w:line="11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September 30, 2016, given hypothetical instantaneous parallel shifts in the yield curve. We used September 30, 2016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Down 25 bps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Up 25 bps</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6,030</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loans held for sale and related derivatives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(172)</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 (1)</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408</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fair value MSRs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2,413</w:t>
            </w:r>
          </w:p>
        </w:tc>
      </w:tr>
      <w:tr>
        <w:trPr>
          <w:trHeight w:val="291"/>
        </w:trPr>
        <w:tc>
          <w:tcPr>
            <w:tcW w:w="834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2,241</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right="120" w:hanging="492"/>
        <w:spacing w:after="0" w:line="253"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change in fair value reflects the impact of market rate changes on projected prepayments on the Agency MSR portfolio carried at fair value. Additionally, non-Agency MSRs carried at fair value can exhibit cash flow sensitivity for advance financing costs and / or float earnings indexed to a market rate. However, we believe the pricing levels on aged non-Agency MSRs should remain stable despite the recent rise in LIBOR rates, given the lack of market transactions supporting any pricing change, and the general industry approach to conservatively valuing such assets. As such, we have assumed zero sensitivity to a 25 bps change in market rates for the non-Agency MSR portfolio.</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left="60" w:right="30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September 30, 2016 balances, if interest rates were to increase by 1% on our variable rate debt and interest earning cash and float balances, we estimate a net positive impact of approximately $11.8 million resulting from an increase of $16.7 million in annual interest income and an increase of $4.9 million in annual interest expense. The increase in interest expense reflects the effect of our hedging activities, which would offset $4.4 million of the increase in interest on our variable rate debt.</w:t>
      </w:r>
    </w:p>
    <w:p>
      <w:pPr>
        <w:spacing w:after="0" w:line="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management, under the supervision of and with the participation of our Chief Executive Officer and our Chief Financial Officer, has evaluated the effectiveness of our disclosure controls and procedures, as such term is defined in Rules 13a-15(e) and 15d-15(e) under the Securities Exchange Act of 1934, as amended (Exchange Act), as of September 30, 2016.</w:t>
      </w:r>
    </w:p>
    <w:p>
      <w:pPr>
        <w:sectPr>
          <w:pgSz w:w="11900" w:h="16838" w:orient="portrait"/>
          <w:cols w:equalWidth="0" w:num="1">
            <w:col w:w="11420"/>
          </w:cols>
          <w:pgMar w:left="240" w:top="85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850" w:right="239" w:bottom="1440" w:gutter="0" w:footer="0" w:header="0"/>
          <w:type w:val="continuous"/>
        </w:sectPr>
      </w:pPr>
    </w:p>
    <w:bookmarkStart w:id="81" w:name="page82"/>
    <w:bookmarkEnd w:id="81"/>
    <w:p>
      <w:pPr>
        <w:ind w:firstLine="324"/>
        <w:spacing w:after="0" w:line="272" w:lineRule="auto"/>
        <w:rPr>
          <w:sz w:val="20"/>
          <w:szCs w:val="20"/>
          <w:color w:val="auto"/>
        </w:rPr>
      </w:pPr>
      <w:r>
        <w:rPr>
          <w:rFonts w:ascii="Arial" w:cs="Arial" w:eastAsia="Arial" w:hAnsi="Arial"/>
          <w:sz w:val="17"/>
          <w:szCs w:val="17"/>
          <w:color w:val="auto"/>
        </w:rPr>
        <w:t>Based on such evaluation, our Chief Executive Officer and Chief Financial Officer have concluded that, as of September 30, 2016,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required disclosure.</w:t>
      </w:r>
    </w:p>
    <w:p>
      <w:pPr>
        <w:spacing w:after="0" w:line="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fiscal quarter ended September 30, 2016 that have materially affected, or are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692" w:right="27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19 – Contingencies to the Unaudited Consolidated Financial Statements. That information is incorporated into this item by reference.</w:t>
      </w:r>
    </w:p>
    <w:p>
      <w:pPr>
        <w:spacing w:after="0" w:line="1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An investment in our common stock involves significant risk. We describe the most significant risks that management believes affect or could affect us under Part I to our Annual Report on Form 10-K for the year ended December 31, 2015 and we added an additional risk factor in our Quarterly Report on Form 10-Q for the quarter ended June 30, 2016. Understanding these risks is important to understanding any statement in such Annual Report and in our subsequent SEC filings, (including this Form 10-Q) and to evaluating an investment in our common stock. You should carefully read and consider the risks and uncertainties described therein together with all of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3.1</w:t>
            </w:r>
          </w:p>
        </w:tc>
        <w:tc>
          <w:tcPr>
            <w:tcW w:w="9660" w:type="dxa"/>
            <w:vAlign w:val="bottom"/>
          </w:tcPr>
          <w:p>
            <w:pPr>
              <w:ind w:left="220"/>
              <w:spacing w:after="0"/>
              <w:rPr>
                <w:sz w:val="20"/>
                <w:szCs w:val="20"/>
                <w:color w:val="auto"/>
              </w:rPr>
            </w:pPr>
            <w:r>
              <w:rPr>
                <w:rFonts w:ascii="Arial" w:cs="Arial" w:eastAsia="Arial" w:hAnsi="Arial"/>
                <w:sz w:val="18"/>
                <w:szCs w:val="18"/>
                <w:color w:val="auto"/>
              </w:rPr>
              <w:t>Amended and Restated Articles of Incorporation (1)</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3.2</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3.3</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3.4</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Amendment to Articles of Incorporation (3)</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3.5</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Correction (3)</w:t>
            </w:r>
          </w:p>
        </w:tc>
      </w:tr>
      <w:tr>
        <w:trPr>
          <w:trHeight w:val="256"/>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3.6</w:t>
            </w:r>
          </w:p>
        </w:tc>
        <w:tc>
          <w:tcPr>
            <w:tcW w:w="9660" w:type="dxa"/>
            <w:vAlign w:val="bottom"/>
          </w:tcPr>
          <w:p>
            <w:pPr>
              <w:ind w:left="220"/>
              <w:spacing w:after="0"/>
              <w:rPr>
                <w:sz w:val="20"/>
                <w:szCs w:val="20"/>
                <w:color w:val="auto"/>
              </w:rPr>
            </w:pPr>
            <w:r>
              <w:rPr>
                <w:rFonts w:ascii="Arial" w:cs="Arial" w:eastAsia="Arial" w:hAnsi="Arial"/>
                <w:sz w:val="18"/>
                <w:szCs w:val="18"/>
                <w:color w:val="auto"/>
                <w:w w:val="98"/>
              </w:rPr>
              <w:t>Articles of Amendment to Articles of Incorporation, Articles of Designation, Preferences and Rights of Series A Perpetual</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Convertible Preferred Stock (4)</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3.7</w:t>
            </w:r>
          </w:p>
        </w:tc>
        <w:tc>
          <w:tcPr>
            <w:tcW w:w="9660" w:type="dxa"/>
            <w:vAlign w:val="bottom"/>
          </w:tcPr>
          <w:p>
            <w:pPr>
              <w:ind w:left="220"/>
              <w:spacing w:after="0"/>
              <w:rPr>
                <w:sz w:val="20"/>
                <w:szCs w:val="20"/>
                <w:color w:val="auto"/>
              </w:rPr>
            </w:pPr>
            <w:r>
              <w:rPr>
                <w:rFonts w:ascii="Arial" w:cs="Arial" w:eastAsia="Arial" w:hAnsi="Arial"/>
                <w:sz w:val="18"/>
                <w:szCs w:val="18"/>
                <w:color w:val="auto"/>
              </w:rPr>
              <w:t>Amended and Restated Bylaws of Ocwen Financial Corporation (5)</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11.1</w:t>
            </w:r>
          </w:p>
        </w:tc>
        <w:tc>
          <w:tcPr>
            <w:tcW w:w="9660" w:type="dxa"/>
            <w:vAlign w:val="bottom"/>
          </w:tcPr>
          <w:p>
            <w:pPr>
              <w:ind w:left="220"/>
              <w:spacing w:after="0"/>
              <w:rPr>
                <w:sz w:val="20"/>
                <w:szCs w:val="20"/>
                <w:color w:val="auto"/>
              </w:rPr>
            </w:pPr>
            <w:r>
              <w:rPr>
                <w:rFonts w:ascii="Arial" w:cs="Arial" w:eastAsia="Arial" w:hAnsi="Arial"/>
                <w:sz w:val="18"/>
                <w:szCs w:val="18"/>
                <w:color w:val="auto"/>
              </w:rPr>
              <w:t>Computation of earnings per share (6)</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31.1</w:t>
            </w:r>
          </w:p>
        </w:tc>
        <w:tc>
          <w:tcPr>
            <w:tcW w:w="966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31.2</w:t>
            </w:r>
          </w:p>
        </w:tc>
        <w:tc>
          <w:tcPr>
            <w:tcW w:w="9660" w:type="dxa"/>
            <w:vAlign w:val="bottom"/>
          </w:tcPr>
          <w:p>
            <w:pPr>
              <w:ind w:left="2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56"/>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32.1</w:t>
            </w:r>
          </w:p>
        </w:tc>
        <w:tc>
          <w:tcPr>
            <w:tcW w:w="9660" w:type="dxa"/>
            <w:vAlign w:val="bottom"/>
          </w:tcPr>
          <w:p>
            <w:pPr>
              <w:ind w:left="220"/>
              <w:spacing w:after="0"/>
              <w:rPr>
                <w:sz w:val="20"/>
                <w:szCs w:val="20"/>
                <w:color w:val="auto"/>
              </w:rPr>
            </w:pPr>
            <w:r>
              <w:rPr>
                <w:rFonts w:ascii="Arial" w:cs="Arial" w:eastAsia="Arial" w:hAnsi="Arial"/>
                <w:sz w:val="18"/>
                <w:szCs w:val="18"/>
                <w:color w:val="auto"/>
                <w:w w:val="97"/>
              </w:rPr>
              <w:t>Certification of the Chief Executive Officer pursuant to 18 U.S.C. Section 1350, as adopted pursuant to Section 906 of the</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Sarbanes-Oxley Act of 2002 (furnished herewith)</w:t>
            </w:r>
          </w:p>
        </w:tc>
      </w:tr>
      <w:tr>
        <w:trPr>
          <w:trHeight w:val="256"/>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32.2</w:t>
            </w:r>
          </w:p>
        </w:tc>
        <w:tc>
          <w:tcPr>
            <w:tcW w:w="9660" w:type="dxa"/>
            <w:vAlign w:val="bottom"/>
          </w:tcPr>
          <w:p>
            <w:pPr>
              <w:ind w:left="220"/>
              <w:spacing w:after="0"/>
              <w:rPr>
                <w:sz w:val="20"/>
                <w:szCs w:val="20"/>
                <w:color w:val="auto"/>
              </w:rPr>
            </w:pPr>
            <w:r>
              <w:rPr>
                <w:rFonts w:ascii="Arial" w:cs="Arial" w:eastAsia="Arial" w:hAnsi="Arial"/>
                <w:sz w:val="18"/>
                <w:szCs w:val="18"/>
                <w:color w:val="auto"/>
                <w:w w:val="98"/>
              </w:rPr>
              <w:t>Certification of the Chief Financial Officer pursuant to 18 U.S.C. Section 1350, as adopted pursuant to Section 906 of the</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Sarbanes-Oxley Act of 2002 (furnished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101.INS</w:t>
            </w:r>
          </w:p>
        </w:tc>
        <w:tc>
          <w:tcPr>
            <w:tcW w:w="966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101.SCH</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101.CAL</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101.DEF</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101.LAB</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101.PRE</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27"/>
        </w:trPr>
        <w:tc>
          <w:tcPr>
            <w:tcW w:w="1760" w:type="dxa"/>
            <w:vAlign w:val="bottom"/>
            <w:tcBorders>
              <w:bottom w:val="single" w:sz="8" w:color="auto"/>
            </w:tcBorders>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ind w:left="500" w:right="360" w:hanging="492"/>
        <w:spacing w:after="0" w:line="255"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filed in connection with the Registrant’s Registration Statement on Form S-1 (File No. 333-5153) as amended, declared effective by the SEC on September 25, 1996.</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Incorporated by reference from the similarly described exhibit included with the Registrant’s Annual Report on Form 10-K for the year ended December 31, 2013.</w:t>
      </w:r>
    </w:p>
    <w:p>
      <w:pPr>
        <w:spacing w:after="0" w:line="16" w:lineRule="exact"/>
        <w:rPr>
          <w:rFonts w:ascii="Arial" w:cs="Arial" w:eastAsia="Arial" w:hAnsi="Arial"/>
          <w:sz w:val="15"/>
          <w:szCs w:val="15"/>
          <w:color w:val="auto"/>
        </w:rPr>
      </w:pPr>
    </w:p>
    <w:p>
      <w:pPr>
        <w:ind w:left="500" w:hanging="492"/>
        <w:spacing w:after="0"/>
        <w:tabs>
          <w:tab w:leader="none" w:pos="5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Incorporated by reference from the similarly described exhibit included with the Registrant’s Annual Report on Form 10-K for the year ended December 31, 2010.</w:t>
      </w:r>
    </w:p>
    <w:p>
      <w:pPr>
        <w:spacing w:after="0" w:line="16" w:lineRule="exact"/>
        <w:rPr>
          <w:rFonts w:ascii="Arial" w:cs="Arial" w:eastAsia="Arial" w:hAnsi="Arial"/>
          <w:sz w:val="15"/>
          <w:szCs w:val="15"/>
          <w:color w:val="auto"/>
        </w:rPr>
      </w:pPr>
    </w:p>
    <w:p>
      <w:pPr>
        <w:ind w:left="500" w:hanging="492"/>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December 28, 2012.</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the similarly described exhibit included with the Registrant’s Form 8-K filed with the SEC on February 19, 2016.</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from “Note 15 – Basic and Diluted Earnings per Share” to the Unaudited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96" w:right="239" w:bottom="1440" w:gutter="0" w:footer="0" w:header="0"/>
        </w:sectPr>
      </w:pPr>
    </w:p>
    <w:bookmarkStart w:id="83" w:name="page84"/>
    <w:bookmarkEnd w:id="8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26,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00"/>
          </w:cols>
          <w:pgMar w:left="240" w:top="688" w:right="35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October 26, 2016</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October 26, 2016</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2016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October 26, 2016</w:t>
            </w:r>
          </w:p>
        </w:tc>
      </w:tr>
    </w:tbl>
    <w:p>
      <w:pPr>
        <w:sectPr>
          <w:pgSz w:w="11900" w:h="16838" w:orient="portrait"/>
          <w:cols w:equalWidth="0" w:num="1">
            <w:col w:w="11420"/>
          </w:cols>
          <w:pgMar w:left="240" w:top="864"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2016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October 26, 2016</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lvl w:ilvl="1">
      <w:lvlJc w:val="left"/>
      <w:lvlText w:val="•"/>
      <w:numFmt w:val="bullet"/>
      <w:start w:val="1"/>
    </w:lvl>
  </w:abstractNum>
  <w:abstractNum w:abstractNumId="19">
    <w:nsid w:val="3006C83E"/>
    <w:multiLevelType w:val="hybridMultilevel"/>
    <w:lvl w:ilvl="0">
      <w:lvlJc w:val="left"/>
      <w:lvlText w:val="(%1)"/>
      <w:numFmt w:val="decimal"/>
      <w:start w:val="5"/>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2"/>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2"/>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
      <w:numFmt w:val="bullet"/>
      <w:start w:val="1"/>
    </w:lvl>
  </w:abstractNum>
  <w:abstractNum w:abstractNumId="46">
    <w:nsid w:val="6DE91B18"/>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2019-12-29T10:02:05Z</dcterms:created>
  <dcterms:modified xsi:type="dcterms:W3CDTF">2019-12-29T10:02:05Z</dcterms:modified>
</cp:coreProperties>
</file>