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June 30, 2015</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1000 Abernathy Road NE, Suite 210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Atlanta, Georgia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30328</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927"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927" w:right="239" w:bottom="1440" w:gutter="0" w:footer="0" w:header="0"/>
          <w:type w:val="continuous"/>
        </w:sect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July 27, 2015: 125,380,118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June 30, 2015 and December 31, 2014</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and Six Months Ended June 30, 2015 and 2014</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for the Three and Six Months Ended June 30, 2015 and 2014</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Stockholders’ Equity for the Six Months Ended June 30, 2015 and 2014</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Six Months Ended June 30, 2015 and 2014</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Accordingly, you should not place undue reliance on any forward-looking statement. Important factors that could cause actual results to differ include, but are not limited to, the risks discussed in “Risk Factors” in our Annual Report on Form 10-K for the year ended December 31, 2014 and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 due to rumors or otherwise;</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recent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strategy to reduce the size of our agency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assets and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2014, our Quarterly Report on Form 10-Q for the three months ended March 31, 2015 and our Current Reports on Form 8-K.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8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4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320,080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129,473</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($814,450 and $93,901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1,341,067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1,913,992</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Advances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893,914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2,181,493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Loans held for sale ($276,581 and $401,120 carried at fair value)</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352,398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488,612</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2,097,192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379,279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270,596</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97,209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76,987</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43,310</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 ($8,157 and $7,335 carried at fair value)</w:t>
            </w:r>
          </w:p>
        </w:tc>
        <w:tc>
          <w:tcPr>
            <w:tcW w:w="1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623,350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490,811</w:t>
            </w:r>
          </w:p>
        </w:tc>
      </w:tr>
      <w:tr>
        <w:trPr>
          <w:trHeight w:val="297"/>
        </w:trPr>
        <w:tc>
          <w:tcPr>
            <w:tcW w:w="84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8,004,639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r>
      <w:tr>
        <w:trPr>
          <w:trHeight w:val="122"/>
        </w:trPr>
        <w:tc>
          <w:tcPr>
            <w:tcW w:w="846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2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300" w:type="dxa"/>
            <w:vAlign w:val="bottom"/>
            <w:shd w:val="clear" w:color="auto" w:fill="EAF9E8"/>
          </w:tcPr>
          <w:p>
            <w:pPr>
              <w:spacing w:after="0"/>
              <w:rPr>
                <w:sz w:val="10"/>
                <w:szCs w:val="1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1,741,122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2,090,247</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($2,569,217 and $2,058,693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2,743,670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1,290,431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1,733,691</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unsecured notes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734,386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793,534</w:t>
            </w:r>
          </w:p>
        </w:tc>
      </w:tr>
      <w:tr>
        <w:trPr>
          <w:trHeight w:val="27"/>
        </w:trPr>
        <w:tc>
          <w:tcPr>
            <w:tcW w:w="84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6,859,609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r>
      <w:tr>
        <w:trPr>
          <w:trHeight w:val="129"/>
        </w:trPr>
        <w:tc>
          <w:tcPr>
            <w:tcW w:w="84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50"/>
        </w:trPr>
        <w:tc>
          <w:tcPr>
            <w:tcW w:w="84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19 and 20)</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135"/>
        </w:trPr>
        <w:tc>
          <w:tcPr>
            <w:tcW w:w="8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0"/>
        </w:trPr>
        <w:tc>
          <w:tcPr>
            <w:tcW w:w="84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b w:val="1"/>
                <w:bCs w:val="1"/>
                <w:color w:val="auto"/>
              </w:rPr>
              <w:t>Equity</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460" w:type="dxa"/>
            <w:vAlign w:val="bottom"/>
          </w:tcPr>
          <w:p>
            <w:pPr>
              <w:ind w:left="600"/>
              <w:spacing w:after="0"/>
              <w:rPr>
                <w:sz w:val="20"/>
                <w:szCs w:val="20"/>
                <w:color w:val="auto"/>
              </w:rPr>
            </w:pPr>
            <w:r>
              <w:rPr>
                <w:rFonts w:ascii="Arial" w:cs="Arial" w:eastAsia="Arial" w:hAnsi="Arial"/>
                <w:sz w:val="18"/>
                <w:szCs w:val="18"/>
                <w:color w:val="auto"/>
              </w:rPr>
              <w:t>Ocwen Financial Corporation (Ocwen) stockholders’ equity</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460" w:type="dxa"/>
            <w:vAlign w:val="bottom"/>
            <w:shd w:val="clear" w:color="auto" w:fill="EAF9E8"/>
          </w:tcPr>
          <w:p>
            <w:pPr>
              <w:ind w:left="720"/>
              <w:spacing w:after="0"/>
              <w:rPr>
                <w:sz w:val="20"/>
                <w:szCs w:val="20"/>
                <w:color w:val="auto"/>
              </w:rPr>
            </w:pPr>
            <w:r>
              <w:rPr>
                <w:rFonts w:ascii="Arial" w:cs="Arial" w:eastAsia="Arial" w:hAnsi="Arial"/>
                <w:sz w:val="18"/>
                <w:szCs w:val="18"/>
                <w:color w:val="auto"/>
                <w:w w:val="95"/>
              </w:rPr>
              <w:t>Common stock, $.01 par value; 200,000,000 shares authorized; 125,380,118 and 125,215,615 shares</w:t>
            </w:r>
          </w:p>
        </w:tc>
        <w:tc>
          <w:tcPr>
            <w:tcW w:w="1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8460" w:type="dxa"/>
            <w:vAlign w:val="bottom"/>
            <w:tcBorders>
              <w:bottom w:val="single" w:sz="8" w:color="EAF9E8"/>
            </w:tcBorders>
            <w:shd w:val="clear" w:color="auto" w:fill="EAF9E8"/>
          </w:tcPr>
          <w:p>
            <w:pPr>
              <w:ind w:left="880"/>
              <w:spacing w:after="0"/>
              <w:rPr>
                <w:sz w:val="20"/>
                <w:szCs w:val="20"/>
                <w:color w:val="auto"/>
              </w:rPr>
            </w:pPr>
            <w:r>
              <w:rPr>
                <w:rFonts w:ascii="Arial" w:cs="Arial" w:eastAsia="Arial" w:hAnsi="Arial"/>
                <w:sz w:val="18"/>
                <w:szCs w:val="18"/>
                <w:color w:val="auto"/>
              </w:rPr>
              <w:t>issued and outstanding at June 30, 2015 and December 31, 2014, respectively</w:t>
            </w:r>
          </w:p>
        </w:tc>
        <w:tc>
          <w:tcPr>
            <w:tcW w:w="1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w:t>
            </w: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525,897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515,194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46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617,286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530,361</w:t>
            </w: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Accumulated other comprehensive loss, net of income taxes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(8,413)</w:t>
            </w:r>
          </w:p>
        </w:tc>
      </w:tr>
      <w:tr>
        <w:trPr>
          <w:trHeight w:val="27"/>
        </w:trPr>
        <w:tc>
          <w:tcPr>
            <w:tcW w:w="84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EAF9E8"/>
            </w:tcBorders>
            <w:shd w:val="clear" w:color="auto" w:fill="EAF9E8"/>
          </w:tcPr>
          <w:p>
            <w:pPr>
              <w:ind w:left="92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1,142,057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1,038,394</w:t>
            </w:r>
          </w:p>
        </w:tc>
      </w:tr>
      <w:tr>
        <w:trPr>
          <w:trHeight w:val="243"/>
        </w:trPr>
        <w:tc>
          <w:tcPr>
            <w:tcW w:w="8460" w:type="dxa"/>
            <w:vAlign w:val="bottom"/>
          </w:tcPr>
          <w:p>
            <w:pPr>
              <w:ind w:left="60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2,771</w:t>
            </w:r>
          </w:p>
        </w:tc>
      </w:tr>
      <w:tr>
        <w:trPr>
          <w:trHeight w:val="27"/>
        </w:trPr>
        <w:tc>
          <w:tcPr>
            <w:tcW w:w="84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1,145,030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r>
      <w:tr>
        <w:trPr>
          <w:trHeight w:val="257"/>
        </w:trPr>
        <w:tc>
          <w:tcPr>
            <w:tcW w:w="846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8,004,639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396,983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491,673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843,524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982,132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45,132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38,836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89,636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82,823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39,380</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463,251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553,074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973,695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1,104,335</w:t>
            </w:r>
          </w:p>
        </w:tc>
      </w:tr>
      <w:tr>
        <w:trPr>
          <w:trHeight w:val="210"/>
        </w:trPr>
        <w:tc>
          <w:tcPr>
            <w:tcW w:w="5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105,843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216,239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31,586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63,198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154,360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79,734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41,260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39,997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80,611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76,973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72,369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52,041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28,773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54,487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57,807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86,571</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352,252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345,463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730,610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694,657</w:t>
            </w:r>
          </w:p>
        </w:tc>
      </w:tr>
      <w:tr>
        <w:trPr>
          <w:trHeight w:val="210"/>
        </w:trPr>
        <w:tc>
          <w:tcPr>
            <w:tcW w:w="5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10,879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(124,897)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(244,293)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(276,080)</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1,794</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(130,434)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(187,756)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(260,798)</w:t>
            </w:r>
          </w:p>
        </w:tc>
      </w:tr>
      <w:tr>
        <w:trPr>
          <w:trHeight w:val="210"/>
        </w:trPr>
        <w:tc>
          <w:tcPr>
            <w:tcW w:w="5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77,177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55,329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148,880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21,382</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9,906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67,012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44,295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1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attributable to Ocwen stockholders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66,955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Deemed dividends related to beneficial conversion feature of</w:t>
            </w: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57"/>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(831)</w:t>
            </w:r>
          </w:p>
        </w:tc>
      </w:tr>
      <w:tr>
        <w:trPr>
          <w:trHeight w:val="297"/>
        </w:trPr>
        <w:tc>
          <w:tcPr>
            <w:tcW w:w="516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44,093</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125,462</w:t>
            </w:r>
          </w:p>
        </w:tc>
      </w:tr>
      <w:tr>
        <w:trPr>
          <w:trHeight w:val="203"/>
        </w:trPr>
        <w:tc>
          <w:tcPr>
            <w:tcW w:w="516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2"/>
              </w:rPr>
              <w:t>Earnings per share attributable to Ocwen common stockholders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0.93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516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125,311,133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134,221,668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125,291,788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134,724,905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127,152,479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137,705,793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127,076,178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138,423,012</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100"/>
              <w:spacing w:after="0"/>
              <w:rPr>
                <w:sz w:val="20"/>
                <w:szCs w:val="20"/>
                <w:color w:val="auto"/>
              </w:rPr>
            </w:pPr>
            <w:r>
              <w:rPr>
                <w:rFonts w:ascii="Arial" w:cs="Arial" w:eastAsia="Arial" w:hAnsi="Arial"/>
                <w:sz w:val="18"/>
                <w:szCs w:val="18"/>
                <w:b w:val="1"/>
                <w:bCs w:val="1"/>
                <w:color w:val="auto"/>
                <w:w w:val="95"/>
              </w:rPr>
              <w:t>For the 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For the Six Months Ended June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88"/>
              </w:rPr>
              <w:t>9,906</w:t>
            </w:r>
          </w:p>
        </w:tc>
        <w:tc>
          <w:tcPr>
            <w:tcW w:w="12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67,012</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44,295</w:t>
            </w:r>
          </w:p>
        </w:tc>
        <w:tc>
          <w:tcPr>
            <w:tcW w:w="100" w:type="dxa"/>
            <w:vAlign w:val="bottom"/>
            <w:shd w:val="clear" w:color="auto" w:fill="EAF9E8"/>
          </w:tcPr>
          <w:p>
            <w:pPr>
              <w:spacing w:after="0"/>
              <w:rPr>
                <w:sz w:val="20"/>
                <w:szCs w:val="20"/>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127,498</w:t>
            </w:r>
          </w:p>
        </w:tc>
      </w:tr>
      <w:tr>
        <w:trPr>
          <w:trHeight w:val="27"/>
        </w:trPr>
        <w:tc>
          <w:tcPr>
            <w:tcW w:w="516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5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50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9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9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46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1"/>
              </w:rPr>
              <w:t>Reclassification adjustment for losses on cash flow hedges included</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in net income (1)</w:t>
            </w:r>
          </w:p>
        </w:tc>
        <w:tc>
          <w:tcPr>
            <w:tcW w:w="5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978</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comprehensive income, net of income taxes</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516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15,521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128,478</w:t>
            </w:r>
          </w:p>
        </w:tc>
      </w:tr>
      <w:tr>
        <w:trPr>
          <w:trHeight w:val="27"/>
        </w:trPr>
        <w:tc>
          <w:tcPr>
            <w:tcW w:w="5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50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 Ocwen stockholders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67,326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50,126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128,436</w:t>
            </w: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of tax expense of $0.3 million and for the three months ended June 30, 2015 and $0.4 million and $0.2 million for the six months ended June 30, 2015 and 2014, respectively. 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ind w:left="260" w:right="2660"/>
        <w:spacing w:after="0" w:line="263"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SIX MONTHS ENDED JUNE 30, 2015 AND 2014 (Dollars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ind w:left="20"/>
              <w:spacing w:after="0" w:line="113"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44,093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44,295</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rights,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42,846</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42,846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85,173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79,330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10,195</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10,182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6,033</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June 30, 2015</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125,380,118</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1,254</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525,897</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617,286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(2,380)</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2,973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1,145,030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127,456</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127,498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(2,663,334)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(94,580)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(94,607)</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244,000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8,854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8,854</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Non-controlling interest in connection with acquisition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loss,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June 30, 2014</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132,771,321</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1,328</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733,737</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1,128,425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(9,171)</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2,568</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1,856,887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127,498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11,809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Gain on sale of mortgage servicing rights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52,564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10,846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(Gain) loss on sale of fixed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(Increase) decrease in deferred tax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16,547</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7,784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(82,823)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(2,314,488)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(4,501,731)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2,517,096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4,422,560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383,028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123,299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Increase in receivables and other assets,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(84,690)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(116,971)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12,979</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534,965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210,023</w:t>
            </w:r>
          </w:p>
        </w:tc>
      </w:tr>
      <w:tr>
        <w:trPr>
          <w:trHeight w:val="31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(357,104)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28,601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(9,749)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388,938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Acquisition of advances in connection with the purchase of mortgage servicing rights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(84,373)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(5,092)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premises and equipment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Cash paid to acquire ResCap Servicing Operations (a component of Residential Capital, LLC)</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(54,220)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cash paid to acquire controlling interest in Ocwen Structured Investments, LLC</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6,572</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1,459</w:t>
            </w:r>
          </w:p>
        </w:tc>
      </w:tr>
      <w:tr>
        <w:trPr>
          <w:trHeight w:val="27"/>
        </w:trPr>
        <w:tc>
          <w:tcPr>
            <w:tcW w:w="8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Net provided by (used in) investing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43,925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(542,199)</w:t>
            </w:r>
          </w:p>
        </w:tc>
      </w:tr>
      <w:tr>
        <w:trPr>
          <w:trHeight w:val="561"/>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(349,125)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(292,297)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3,895,539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3,007,709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(4,455,813)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(3,139,093)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issuance of 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123,551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381,579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81,828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(94,607)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Payment of 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ectPr>
          <w:pgSz w:w="11900" w:h="16897" w:orient="portrait"/>
          <w:cols w:equalWidth="0" w:num="1">
            <w:col w:w="11420"/>
          </w:cols>
          <w:pgMar w:left="240" w:top="337"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413,135</w:t>
            </w:r>
          </w:p>
        </w:tc>
      </w:tr>
      <w:tr>
        <w:trPr>
          <w:trHeight w:val="27"/>
        </w:trPr>
        <w:tc>
          <w:tcPr>
            <w:tcW w:w="836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836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80,959</w:t>
            </w: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129,473</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178,512</w:t>
            </w:r>
          </w:p>
        </w:tc>
      </w:tr>
      <w:tr>
        <w:trPr>
          <w:trHeight w:val="297"/>
        </w:trPr>
        <w:tc>
          <w:tcPr>
            <w:tcW w:w="83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320,080</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259,471</w:t>
            </w:r>
          </w:p>
        </w:tc>
      </w:tr>
      <w:tr>
        <w:trPr>
          <w:trHeight w:val="311"/>
        </w:trPr>
        <w:tc>
          <w:tcPr>
            <w:tcW w:w="836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Transfer of loans held for sale to loans held for investment</w:t>
            </w:r>
          </w:p>
        </w:tc>
        <w:tc>
          <w:tcPr>
            <w:tcW w:w="42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r>
      <w:tr>
        <w:trPr>
          <w:trHeight w:val="27"/>
        </w:trPr>
        <w:tc>
          <w:tcPr>
            <w:tcW w:w="836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is engaged in the servicing and origination of mortgage loans. Ocwen is headquartered in Atlanta, Georgia with offices throughout the United States (U.S.) and in the United States Virgin Islands (USVI) with support operations in India and the Philippines. Ocwen is a Florida corporation organized in February 1988.</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originate, purchase, sell and securitize conventional (conforming to the underwriting standards of Fannie Mae or Freddie Mac; collectively referred to as Agency loans) and government insured (Federal Housing Authority (FHA) or Department of Veterans Affairs (VA) forward and reverse mortgages. The GSEs or Ginnie Mae guarantee our mortgage securitizations.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 Business Environment and Other Uncertainties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liquidity and financing activities. We may be adversely impacted by the following, among other things: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sufficient liquidity to operate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Downgrades in our third-party servicer ratings;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actions against us.</w:t>
      </w:r>
    </w:p>
    <w:p>
      <w:pPr>
        <w:spacing w:after="0" w:line="10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have been taking, and continue to take, steps to address these challenges and uncertainties, including those described in “-Recent Actions” below. In addition, we have been, and continue to, execute on our strategic plan to sell a significant portion of our Agency MSRs. We currently expect to receive approximately $950.0 million of proceeds from these transactions, subject in each case to necessary approvals and the satisfaction of closing conditions. We expect that the majority of such proceeds will be used for prepayments under our SSTL, which will significantly reduce our leverage.</w:t>
      </w:r>
    </w:p>
    <w:p>
      <w:pPr>
        <w:spacing w:after="0" w:line="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been, and continue to, engage in communications with the ratings agencies and key stakeholders, including the GSEs, in connection with recent and planned future actions and developments, including the uncertainties identified above.</w:t>
      </w:r>
    </w:p>
    <w:p>
      <w:pPr>
        <w:spacing w:after="0" w:line="62" w:lineRule="exact"/>
        <w:rPr>
          <w:sz w:val="20"/>
          <w:szCs w:val="20"/>
          <w:color w:val="auto"/>
        </w:rPr>
      </w:pPr>
    </w:p>
    <w:p>
      <w:pPr>
        <w:ind w:right="40" w:firstLine="324"/>
        <w:spacing w:after="0" w:line="375" w:lineRule="auto"/>
        <w:rPr>
          <w:sz w:val="20"/>
          <w:szCs w:val="20"/>
          <w:color w:val="auto"/>
        </w:rPr>
      </w:pPr>
      <w:r>
        <w:rPr>
          <w:rFonts w:ascii="Arial" w:cs="Arial" w:eastAsia="Arial" w:hAnsi="Arial"/>
          <w:sz w:val="18"/>
          <w:szCs w:val="18"/>
          <w:color w:val="auto"/>
        </w:rPr>
        <w:t xml:space="preserve">There can be no assurances that management’s recent and future actions will be successful in mitigating the above risks and uncertainties in our business. </w:t>
      </w:r>
      <w:r>
        <w:rPr>
          <w:rFonts w:ascii="Arial" w:cs="Arial" w:eastAsia="Arial" w:hAnsi="Arial"/>
          <w:sz w:val="18"/>
          <w:szCs w:val="18"/>
          <w:b w:val="1"/>
          <w:bCs w:val="1"/>
          <w:color w:val="auto"/>
        </w:rPr>
        <w:t>Liquidity</w:t>
      </w:r>
    </w:p>
    <w:p>
      <w:pPr>
        <w:spacing w:after="0" w:line="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ability to finance servicing advances is a significant factor that affects our liquidity. Our use of advance financing facilities is integral to our servicing advance financing strategy, as these advance financing facilities are necessary for us to meet our daily advance funding obligations under our servicing agreements. Our advance funding facilities have 364-day revolving periods. At June 30, 2015, we had $1.7 billion outstanding under these facilities. In the event we are unable to renew, replace or extend one or more of these advance funding facilities, repayment of the outstanding balance must begin at the end of the respective revolving period. In addition, we use mortgage loan warehouse facilities to fund newly originated loans on a short-term basis until they are sold to secondary market investors, including GSEs or other third-party investors. All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master repurchase and participation agreements for financing new loan originations have 364-day terms and are typically renewed annually. At June 30, 2015, we had $314.8 million outstanding under these financing arrangements.</w:t>
      </w:r>
    </w:p>
    <w:p>
      <w:pPr>
        <w:spacing w:after="0" w:line="6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To date, we have successfully renewed, replaced or extended all of our debt agreements prior to their scheduled maturity dates to the extent necessary to maintain adequate liquidity. In the event we are unable to renew, replace or extend any of our debt agreements, we may not have adequate sources of funding for our business. Due to the significant level of cash requirements related to servicing advances, we may not have sufficient levels of liquidity to fund our operations without our advance financing facilities. We typically require significantly more liquidity to meet our advance funding obligations than our available cash on hand.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terms of our existing debt agreements, we are subject to various qualitative and quantitative covenants.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parties to seller/servicer agreements and/or subject to guidelines and regulations (collectively, seller/servicer obligations) with one or more of the GSEs, the Department of Housing and Urban Development (HUD), FHA, VA and Ginnie Mae. These seller/servicer obligations include financial covenants that include capital requirements related to tangible net worth, as defined by the applicable agency,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agencies has communicated any material sanction, suspension or prohibition in connection with our seller/servicer obligations. Our non-Agency servicing agreements also contain requirements regarding servicing practices and other matters, and a failure to comply with these requirements could have an adverse impact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Ratings</w:t>
      </w:r>
    </w:p>
    <w:p>
      <w:pPr>
        <w:spacing w:after="0" w:line="1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Moody’s Investors Service (Moody’s), Fitch Ratings Inc. (Fitch) Standard &amp; Poor’s (S&amp;P) and Morningstar, Inc. (Morningstar) rate us as a mortgage servicer. Maintaining minimum ratings from these agencies is important to the conduct of our loan servicing and lending businesses. Downgrades in servicer ratings could adversely affect our ability to finance servicing advances and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8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Each of Moody’s, Fitch and S&amp;P took action with respect to our servicer ratings in June 2015. Moody’s confirmed a number of our ratings and removed those ratings from review for downgrade. Fitch confirmed a number of our ratings and revised the outlook to positive from stable. S&amp;P lowered a number of our ratings to below average and revised the outlook for these ratings to stable. Out of 4,053 non-Agency servicing agreements, 726 with $43.1 billion of unpaid principal balance (UPB) as of June 30, 2015 have minimum servicer ratings criteria. As a result of downgrades in our servicer ratings, termination rights have been triggered in 644 of these non-Agency servicing agreements. This represents approximately $36.9 billion in UPB as of June 30, 2015, or approximately 18% of our total non-Agency servicing portfolio. We have received notices terminating us as the servicer under four of our non-Agency servicing agreements due to rating downgrades. Pursuant to our servicing agreements, generally we are entitled to payment of accrued and unpaid servicing fees through the termination date as well as all advances and certain other previously unreimbursed amounts, although we lose the future servicing fee revenue. The financial impact of the termination of servicing under these four servicing agreements was immaterial to our financial condition and results of operations. We could be subject to further terminations, either as a result of recent servicer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ratings downgrades or future adverse actions by rating agencies, which could have an adverse effect on our business, financing activities, financial condition and results of operations.</w:t>
      </w:r>
    </w:p>
    <w:p>
      <w:pPr>
        <w:spacing w:after="0" w:line="62"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We have agreed to compensate New Residential Investment Corp. (NRZ) for certain increased costs that are the direct result of a downgrade of our S&amp;P rating below “Average”. Such compensation shall not exceed $3.0 million for any calendar month or $36.0 million in the aggregate. We accrued $0.3 million at June 30, 2015 in connection with this agreement, and may incur costs in connection with this agreement in the future periods. Compensation related to this agreement is recorded as interest expense in the unaudited Consolidated Statements of Operations</w:t>
      </w:r>
    </w:p>
    <w:p>
      <w:pPr>
        <w:spacing w:after="0" w:line="6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Failure to maintain minimum servicer ratings could also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Any such outcome could have a material adverse effect on our business, financing activities,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Uncertainties</w:t>
      </w:r>
    </w:p>
    <w:p>
      <w:pPr>
        <w:spacing w:after="0" w:line="12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have recently entered into a number of regulatory settlements which have significantly impacted our ability to grow our servicing portfolio and which subject us to ongoing monitoring or reporting. See Note 18 – Regulatory Requirements and Note 20 – Contingencies for further information regarding regulatory requirements, our recent regulatory settlements and regulatory-related contingencies.</w:t>
      </w:r>
    </w:p>
    <w:p>
      <w:pPr>
        <w:spacing w:after="0" w:line="4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continue to work with our regulators, including the Consumer Financial Protection Bureau (CFPB) and state regulators and attorneys general, on enhancing our risk and compliance management systems and remediating deficiencies. We are currently unaware of any unresolved issues with state agencies that would have a material financial impact on us. We are not aware of, nor anticipating, any material fines, penalties or settlements from any such agencies. We are not aware of any pending or threatened actions to suspend or revoke any state licenses.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Actions</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address the uncertainties set forth above, we have proactively engaged with our lenders and significant counterparties. Recent developments include the following:</w:t>
      </w:r>
    </w:p>
    <w:p>
      <w:pPr>
        <w:spacing w:after="0" w:line="62" w:lineRule="exact"/>
        <w:rPr>
          <w:sz w:val="20"/>
          <w:szCs w:val="20"/>
          <w:color w:val="auto"/>
        </w:rPr>
      </w:pPr>
    </w:p>
    <w:p>
      <w:pPr>
        <w:ind w:left="660" w:hanging="328"/>
        <w:spacing w:after="0" w:line="26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April 6, 2015, we amended the agreements governing our relationship with Home Loan Servicing Solutions, Ltd. (HLSS) in consideration for our consent to the assignment by HLSS to NRZ of all HLSS’ right, title and interest in, to and under our arrangements with HLSS (including the Rights to MSRs). Most notably, the amendment extended the term during which we are scheduled to be the servicer on loans underlying the Rights to MSRs (along with the associated economic benefits) for two additional years or until April 30, 2020, whichever is earlier, provided that such extension will not apply with respect to any servicing agreement that, as of the date that it was scheduled to terminate under our original agreements, is affected by an uncured termination event due to a downgrade of our servicer rating to below average or lower by S&amp;P or to “SQ4” or lower by Moody’s. The amendment also imposed a two-year standstill (until April 6, 2017 and subject to certain conditions) on the rights of NRZ to replace us as servicer. References to NRZ in these unaudited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17, 2015, we entered into an amendment to the SSTL facility agreement. Effective as of April 20, 2015, the amendment, among other things (1) removed, with respect to the 2014 fiscal year, the requirement that our financial statements and the related audit report must be unqualified as to going concern; and (2) extended the required time period for delivery of the 2014 audited financial statements to May 29, 2015. We subsequently delivered our 2014 audited financial statements prior to May 29, 2015 and with an audit report that was unqualified as to going concern.</w:t>
      </w:r>
    </w:p>
    <w:p>
      <w:pPr>
        <w:spacing w:after="0" w:line="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June 10, 2015, we refinanced and upsized an existing $400.0 million servicing advance financing facility. The facility was increased to $450.0 million with a revolving period term to June 2016. On June 26, 2015, the facility issued $225.0 million of secured investment grade fixed-rate term notes, reducing the facility revolving note commitment to $225.0 million.</w:t>
      </w:r>
    </w:p>
    <w:p>
      <w:pPr>
        <w:spacing w:after="0" w:line="1"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engaged in discussions with global financial institutions for the refinancing of an existing $1.8 billion servicing advance facility and we currently expect to finalize the refinancing in the near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 - Basis of Presentation</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the instructions of the Securities and Exchange Commission (SEC) to Form 10-Q and SEC Regulation S-X, Article 10, Rule 10-01 for interim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right="100"/>
        <w:spacing w:after="0" w:line="273" w:lineRule="auto"/>
        <w:rPr>
          <w:sz w:val="20"/>
          <w:szCs w:val="20"/>
          <w:color w:val="auto"/>
        </w:rPr>
      </w:pPr>
      <w:r>
        <w:rPr>
          <w:rFonts w:ascii="Arial" w:cs="Arial" w:eastAsia="Arial" w:hAnsi="Arial"/>
          <w:sz w:val="17"/>
          <w:szCs w:val="17"/>
          <w:color w:val="auto"/>
        </w:rPr>
        <w:t>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2015 are not necessarily indicative of the results that may be expected for any other interim period or for the year ending December 31, 2015. The unaudited consolidated financial statements presented herein should be read in conjunction with the audited consolidated financial statements and related notes thereto included in our Annual Report on Form 10-K for the year ended December 31,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Within the Other income (expense) section of the unaudited Consolidated Statements of Operations for the three and six months ended June 30, 2014, we reclassified Interest income from Other, net to a separate line item to conform to the current year presentation.</w:t>
      </w:r>
    </w:p>
    <w:p>
      <w:pPr>
        <w:spacing w:after="0" w:line="6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Certain insignificant amounts in the unaudited Consolidated Statements of Cash Flows for the six months ended June 30, 2014 have been reclassified to conform to the current year presentation. These reclassifications had no impact on our consolidated cash flows from operating, investing or financing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221E1F"/>
        </w:rPr>
        <w:t>Income Taxes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221E1F"/>
        </w:rPr>
        <w:t>In accordance with Financial Accounting Standards Board (FASB) Accounting Standards Codification (ASC) 270, Interim Financial Reporting, and ASC 740-270, Income Taxes — Interim Reporting, at the end of each interim period, we are required to determine the best estimate of our annual effective tax rate and then apply that rate to “ordinary” income or loss (pretax income or loss excluding unusual or infrequently occurring discrete items) in providing for income taxes on an interim period. However, in certain circumstances where we are unable to make a reliable estimate of the annual effective tax rate, ASC 740-270 allows the actual effective tax rate for the interim period to be used in the interim period. For the second quarter ended June 30, 2015, we calculated our effective rate for the six months ended June 30, 2015 and applied that rate to the interim period results because we were unable to reasonably estimate our annual effective rate since small changes in estimated “ordinary” income would result in significant changes in the estimated annual effective tax rate. We determined the historical method would not provide a reliable estimate for the fiscal three and six months ended June 30,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Business Combinations: Pushdown Accounting - Amendments to SEC Paragraphs Pursuant to Staff Accounting Bulletin No. 115 (ASU 2015-08)</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May 2015, the FASB issued Accounting Standards Update (ASU) 2015-08, which removes references to the SEC’s Staff Accounting Bulletin (SAB) Topic 5.J on pushdown accounting from ASC 805-50, thereby conforming the FASB’s guidance on pushdown accounting with the SEC’s guidance on this topic. The SEC’s issuance of SAB No. 115 had superseded the guidance in SAB Topic 5.J in connection with the FASB’s November 2014 release of ASU 2014-17. ASU 2015-08 became effective for us upon issuance.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adoption of ASU 2015-08 on May 11, 2015 did not have a material impact on our consolidated financial condition or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on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three and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1,415,952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1,443,272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2,486,724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2,977,523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14,334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3"/>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1,424,577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1,452,412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2,506,713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2,991,857</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these transfers, we retained MSRs of $9.8 million and $18.3 million during the three and six months ended June 30, 2015, respectively, and $9.8 million and $21.4 million during the three and six months ended June 30, 2014, respectively. We initially record the MSRs at fair value and subsequently account for them at amortized cost.</w:t>
      </w:r>
    </w:p>
    <w:p>
      <w:pPr>
        <w:spacing w:after="0" w:line="7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 at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72,638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82,542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 (1)</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9,359,443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9,353,187</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9,433,303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9,439,805</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At June 30, 2015 and December 31, 2014, 5.9% and 5.1%, respectively, of the transferred residential loans that we service were 60 days or more past due. During the three and six months ended June 30, 2015, there were no charge-offs, net of recoveries, associated with these transferred loans.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therefore, we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elected to measure the HECMs and HMBS-related borrowings at fair value. The changes in fair value of the HECMs and HMBS-related borrowings are included in Other revenues in our unaudited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Statements of Cash Flows. We report net fair value gains on HECMs and the related HMBS borrowings as an adjustment to the net cash provided by or used in operating activities in the unaudited Consolidated Statements of Cash Flows. Proceeds from securitizations of HECMs and payments on HMBS-related borrowings are included in financing activities in the unaudited Consolidated Statements of Cash Flows.</w:t>
      </w:r>
    </w:p>
    <w:p>
      <w:pPr>
        <w:spacing w:after="0" w:line="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At June 30, 2015 and December 31, 2014, we had HMBS-related borrowings of $2.0 billion and $1.4 billion and HECMs pledged as collateral to the pools of $2.1 billion and $1.6 billion,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the debt is not recourse to Ocwen.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 2015</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276,581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276,581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352,398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352,398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8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2,097,192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2,097,192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2,754,435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2,754,435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379,279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270,596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Match funded liabilities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1,741,122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1,741,122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1,987,998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1,987,998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1,444,252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581,219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581,219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161,806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189,648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2,743,670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2,731,023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2,248,341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8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932,797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933,214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1,273,219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1,198,227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357,634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460,472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460,472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1,290,431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1,290,848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1,733,691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1,658,699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327,250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Lock Commitments (IRLCs)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814,450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MSRs, at amortized cost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648,840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2,237,703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1,341,067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1,463,290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2,331,604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but not carried, at fair value.</w:t>
      </w:r>
    </w:p>
    <w:p>
      <w:pPr>
        <w:spacing w:after="0" w:line="9" w:lineRule="exact"/>
        <w:rPr>
          <w:rFonts w:ascii="Arial" w:cs="Arial" w:eastAsia="Arial" w:hAnsi="Arial"/>
          <w:sz w:val="18"/>
          <w:szCs w:val="18"/>
          <w:color w:val="auto"/>
        </w:rPr>
      </w:pPr>
    </w:p>
    <w:p>
      <w:pPr>
        <w:ind w:left="500" w:right="220" w:hanging="492"/>
        <w:spacing w:after="0" w:line="323"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balance at June 30, 2015 includes our impaired government-insured stratum of amortization method MSRs, which is measured at fair value on a non-recurring basis. The carrying value of this stratum at June 30, 2015 was $143.7 million, net of a valuation allowance of $1.6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p>
      <w:pPr>
        <w:ind w:right="2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 for the three and six months ended June 30, 2015 and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8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June 30, 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1,808,141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(1,702,397)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(594,495)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897,797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416,950</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295,131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rPr>
              <w:t>Transfer from MSRs, at</w:t>
            </w:r>
          </w:p>
        </w:tc>
        <w:tc>
          <w:tcPr>
            <w:tcW w:w="1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(68,072)</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(37,690)</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37,812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13,276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13,398</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257,441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(53,638)</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Borders>
              <w:bottom w:val="single" w:sz="8" w:color="EAF9E8"/>
            </w:tcBorders>
            <w:shd w:val="clear" w:color="auto" w:fill="EAF9E8"/>
          </w:tcPr>
          <w:p>
            <w:pPr>
              <w:spacing w:after="0"/>
              <w:rPr>
                <w:sz w:val="20"/>
                <w:szCs w:val="20"/>
                <w:color w:val="auto"/>
              </w:rPr>
            </w:pPr>
          </w:p>
        </w:tc>
        <w:tc>
          <w:tcPr>
            <w:tcW w:w="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31,610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(12,575)</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31,610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(12,575)</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(1,987,998)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350,737</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1"/>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8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June 30, 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923,464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(870,462)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(634,399)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110,826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(462,726)</w:t>
            </w: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180,445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(154,952)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25,493</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(2,104)</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165,873</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(147,304)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23,389</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18,289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(4,509)</w:t>
            </w:r>
          </w:p>
        </w:tc>
      </w:tr>
      <w:tr>
        <w:trPr>
          <w:trHeight w:val="229"/>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18,289</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(4,509)</w:t>
            </w:r>
          </w:p>
        </w:tc>
      </w:tr>
      <w:tr>
        <w:trPr>
          <w:trHeight w:val="209"/>
        </w:trPr>
        <w:tc>
          <w:tcPr>
            <w:tcW w:w="252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1,107,626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(1,033,712)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(629,579)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104,220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(443,846)</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692"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8"/>
              </w:rPr>
              <w:t>Six months ended June 30, 2015</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530,402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Transfer from MSRs, at</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839,157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(63,923)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63,797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33,222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466,479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769,029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799,787</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80,572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EAF9E8"/>
          </w:tcPr>
          <w:p>
            <w:pPr>
              <w:spacing w:after="0"/>
              <w:rPr>
                <w:sz w:val="18"/>
                <w:szCs w:val="18"/>
                <w:color w:val="auto"/>
              </w:rPr>
            </w:pPr>
          </w:p>
        </w:tc>
        <w:tc>
          <w:tcPr>
            <w:tcW w:w="2480" w:type="dxa"/>
            <w:vAlign w:val="bottom"/>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80,572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(42,301)</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(1,987,998)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814,450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350,737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88"/>
              </w:rPr>
              <w:t>Six months ended June 30, 2014</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c>
          <w:tcPr>
            <w:tcW w:w="0" w:type="dxa"/>
            <w:vAlign w:val="bottom"/>
          </w:tcPr>
          <w:p>
            <w:pPr>
              <w:spacing w:after="0"/>
              <w:rPr>
                <w:sz w:val="1"/>
                <w:szCs w:val="1"/>
                <w:color w:val="auto"/>
              </w:rPr>
            </w:pPr>
          </w:p>
        </w:tc>
      </w:tr>
      <w:tr>
        <w:trPr>
          <w:trHeight w:val="229"/>
        </w:trPr>
        <w:tc>
          <w:tcPr>
            <w:tcW w:w="2520" w:type="dxa"/>
            <w:vAlign w:val="bottom"/>
            <w:gridSpan w:val="3"/>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357,104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(381,579)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Transfer from loans held for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sale, at fair value</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110,874</w:t>
            </w: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13,035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439,377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82,758</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gains and (losses):</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8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50,231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EAF9E8"/>
          </w:tcPr>
          <w:p>
            <w:pPr>
              <w:spacing w:after="0"/>
              <w:rPr>
                <w:sz w:val="19"/>
                <w:szCs w:val="19"/>
                <w:color w:val="auto"/>
              </w:rPr>
            </w:pPr>
          </w:p>
        </w:tc>
        <w:tc>
          <w:tcPr>
            <w:tcW w:w="248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EAF9E8"/>
          </w:tcPr>
          <w:p>
            <w:pPr>
              <w:spacing w:after="0"/>
              <w:rPr>
                <w:sz w:val="18"/>
                <w:szCs w:val="18"/>
                <w:color w:val="auto"/>
              </w:rPr>
            </w:pPr>
          </w:p>
        </w:tc>
        <w:tc>
          <w:tcPr>
            <w:tcW w:w="2480" w:type="dxa"/>
            <w:vAlign w:val="bottom"/>
            <w:gridSpan w:val="2"/>
            <w:shd w:val="clear" w:color="auto" w:fill="EAF9E8"/>
          </w:tcPr>
          <w:p>
            <w:pPr>
              <w:ind w:left="40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gridSpan w:val="2"/>
            <w:shd w:val="clear" w:color="auto" w:fill="EAF9E8"/>
          </w:tcPr>
          <w:p>
            <w:pPr>
              <w:ind w:left="40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44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2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1,107,626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(1,033,712)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(629,579)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104,220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transfer of servicing to another party related to Rights to MSRs we are required to reimburse NRZ, at predetermined contractual rates for the loss of servicing revenues. Settlements for Financing liability - MSRs pledged for</w:t>
      </w:r>
    </w:p>
    <w:p>
      <w:pPr>
        <w:sectPr>
          <w:pgSz w:w="11900" w:h="16838" w:orient="portrait"/>
          <w:cols w:equalWidth="0" w:num="1">
            <w:col w:w="11420"/>
          </w:cols>
          <w:pgMar w:left="240" w:top="85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850" w:right="239" w:bottom="1440" w:gutter="0" w:footer="0" w:header="0"/>
          <w:type w:val="continuous"/>
        </w:sectPr>
      </w:pPr>
    </w:p>
    <w:bookmarkStart w:id="19" w:name="page20"/>
    <w:bookmarkEnd w:id="19"/>
    <w:p>
      <w:pPr>
        <w:ind w:left="500"/>
        <w:spacing w:after="0"/>
        <w:rPr>
          <w:sz w:val="20"/>
          <w:szCs w:val="20"/>
          <w:color w:val="auto"/>
        </w:rPr>
      </w:pPr>
      <w:r>
        <w:rPr>
          <w:rFonts w:ascii="Arial" w:cs="Arial" w:eastAsia="Arial" w:hAnsi="Arial"/>
          <w:sz w:val="18"/>
          <w:szCs w:val="18"/>
          <w:color w:val="auto"/>
        </w:rPr>
        <w:t>the six months ended June 30, 2015 includes $2.2 million of such reimbursements during the three months ended March 31, 2015.</w:t>
      </w:r>
    </w:p>
    <w:p>
      <w:pPr>
        <w:spacing w:after="0" w:line="2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losses attributable to derivative financial instruments still held at June 30, 2015 were $0.5 million for the six months ended June 30, 2015.</w:t>
      </w:r>
    </w:p>
    <w:p>
      <w:pPr>
        <w:spacing w:after="0" w:line="128"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2015 valuation include:</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Life in years ranging from 6.42 to 10.25 (weighted average of 6.77);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Conditional repayment rate ranging from 4.91% to 53.75% (weighted average of 19.65%);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 rate of 3.15%.</w:t>
      </w:r>
    </w:p>
    <w:p>
      <w:pPr>
        <w:spacing w:after="0" w:line="10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20" w:name="page21"/>
    <w:bookmarkEnd w:id="20"/>
    <w:p>
      <w:pPr>
        <w:ind w:right="280"/>
        <w:spacing w:after="0" w:line="286" w:lineRule="auto"/>
        <w:rPr>
          <w:sz w:val="20"/>
          <w:szCs w:val="20"/>
          <w:color w:val="auto"/>
        </w:rPr>
      </w:pPr>
      <w:r>
        <w:rPr>
          <w:rFonts w:ascii="Arial" w:cs="Arial" w:eastAsia="Arial" w:hAnsi="Arial"/>
          <w:sz w:val="17"/>
          <w:szCs w:val="17"/>
          <w:color w:val="auto"/>
        </w:rPr>
        <w:t>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 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Mortgage prepayment speeds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servicing advances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Cost of servicing</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900" w:type="dxa"/>
            <w:vAlign w:val="bottom"/>
          </w:tcPr>
          <w:p>
            <w:pPr>
              <w:ind w:left="160"/>
              <w:spacing w:after="0"/>
              <w:rPr>
                <w:sz w:val="20"/>
                <w:szCs w:val="20"/>
                <w:color w:val="auto"/>
              </w:rPr>
            </w:pPr>
            <w:r>
              <w:rPr>
                <w:rFonts w:ascii="Arial" w:cs="Arial" w:eastAsia="Arial" w:hAnsi="Arial"/>
                <w:sz w:val="18"/>
                <w:szCs w:val="18"/>
                <w:color w:val="auto"/>
              </w:rPr>
              <w:t>Delinquency rates</w:t>
            </w:r>
          </w:p>
        </w:tc>
        <w:tc>
          <w:tcPr>
            <w:tcW w:w="1820" w:type="dxa"/>
            <w:vAlign w:val="bottom"/>
          </w:tcPr>
          <w:p>
            <w:pPr>
              <w:ind w:left="16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Collection rate of other ancillary fees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2015 valuation include:</w:t>
      </w:r>
    </w:p>
    <w:p>
      <w:pPr>
        <w:spacing w:after="0" w:line="37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6380" w:type="dxa"/>
            <w:vAlign w:val="bottom"/>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540" w:type="dxa"/>
            <w:vAlign w:val="bottom"/>
            <w:shd w:val="clear" w:color="auto" w:fill="EAF9E8"/>
          </w:tcPr>
          <w:p>
            <w:pPr>
              <w:spacing w:after="0"/>
              <w:rPr>
                <w:sz w:val="23"/>
                <w:szCs w:val="23"/>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5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7"/>
        </w:trPr>
        <w:tc>
          <w:tcPr>
            <w:tcW w:w="63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5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5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63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5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95</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for Non-Agency MSRs via a market rate indexed cost of advance funding. Other key assumptions used in the valuation of these MSRs include delinquency rates and discount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assumptions used in the June 30, 2015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Agency</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Non Agency</w:t>
            </w:r>
          </w:p>
        </w:tc>
      </w:tr>
      <w:tr>
        <w:trPr>
          <w:trHeight w:val="27"/>
        </w:trPr>
        <w:tc>
          <w:tcPr>
            <w:tcW w:w="77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29.99%</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5-year swap</w:t>
            </w: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5-year swap</w:t>
            </w:r>
          </w:p>
        </w:tc>
        <w:tc>
          <w:tcPr>
            <w:tcW w:w="26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15.29%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337</w:t>
            </w: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69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w:t>
      </w:r>
    </w:p>
    <w:p>
      <w:pPr>
        <w:spacing w:after="0" w:line="1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June 30, 2015 valuation include:</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Life in years ranging from 4.81 to 10.25 (weighted average of 5.48);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Conditional repayment rate ranging from 4.91% to 53.75% (weighted average of 19.65%);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 of 2.38%.</w:t>
      </w:r>
    </w:p>
    <w:p>
      <w:pPr>
        <w:spacing w:after="0" w:line="103"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periodically sell Rights to MSRs.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private-label MSRs, future fair value changes in the Financing Liability - MSRs Pledged will be largely offset by changes in the fair value of the related MSRs.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8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080" w:type="dxa"/>
            <w:vAlign w:val="bottom"/>
          </w:tcPr>
          <w:p>
            <w:pPr>
              <w:ind w:left="340"/>
              <w:spacing w:after="0"/>
              <w:rPr>
                <w:sz w:val="20"/>
                <w:szCs w:val="20"/>
                <w:color w:val="auto"/>
              </w:rPr>
            </w:pPr>
            <w:r>
              <w:rPr>
                <w:rFonts w:ascii="Arial" w:cs="Arial" w:eastAsia="Arial" w:hAnsi="Arial"/>
                <w:sz w:val="18"/>
                <w:szCs w:val="18"/>
                <w:color w:val="auto"/>
                <w:w w:val="93"/>
              </w:rPr>
              <w:t>The more significant assumptions used in determination of the price of the underlying MSRs at June 30, 2015 include:</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35"/>
        </w:trPr>
        <w:tc>
          <w:tcPr>
            <w:tcW w:w="9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250"/>
        </w:trPr>
        <w:tc>
          <w:tcPr>
            <w:tcW w:w="9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4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17.17%</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30.94%</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4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 ML plus 3.5%</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44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4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15.21%</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342</w:t>
            </w:r>
          </w:p>
        </w:tc>
      </w:tr>
    </w:tbl>
    <w:p>
      <w:pPr>
        <w:spacing w:after="0" w:line="121" w:lineRule="exact"/>
        <w:rPr>
          <w:sz w:val="20"/>
          <w:szCs w:val="20"/>
          <w:color w:val="auto"/>
        </w:rPr>
      </w:pPr>
    </w:p>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values at June 30, 2015 and December 31, 2014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enter into forward mortgage-backed securities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92" w:right="27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provides a summary of MSRs and advances sold during the six months ended June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MSRs (1)</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83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 sold</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528,190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(loss) on sale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Plus: Accrued expenses included in gain (loss) on sale</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23,256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Sales price</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608,158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149,298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due from purchaser at June 30</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20,477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Amount paid to purchasers for estimated representation and warranty obligations, compensatory fees for</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57"/>
        </w:trPr>
        <w:tc>
          <w:tcPr>
            <w:tcW w:w="83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foreclosures that may ultimately exceed investor timelines and related indemnification obligations</w:t>
            </w:r>
          </w:p>
        </w:tc>
        <w:tc>
          <w:tcPr>
            <w:tcW w:w="2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83,806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net cash received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388,938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128,821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were no MSR sales during the six months ended June 30, 2014. MSR sales in 2015 include the following:</w:t>
      </w:r>
    </w:p>
    <w:p>
      <w:pPr>
        <w:spacing w:after="0" w:line="23" w:lineRule="exact"/>
        <w:rPr>
          <w:rFonts w:ascii="Arial" w:cs="Arial" w:eastAsia="Arial" w:hAnsi="Arial"/>
          <w:sz w:val="18"/>
          <w:szCs w:val="18"/>
          <w:color w:val="auto"/>
        </w:rPr>
      </w:pPr>
    </w:p>
    <w:p>
      <w:pPr>
        <w:ind w:left="820" w:right="20" w:hanging="326"/>
        <w:spacing w:after="0" w:line="281" w:lineRule="auto"/>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On March 2, 2015, we signed a letter of intent with JPMorgan Chase &amp; Co. for the sale of MSRs on a portfolio consisting of approximately 250,000 performing Agency loans owned by Fannie Mae with a total UPB of approximately $42.0 billion. On May 13, 2015, we signed a definitive agreement having obtained all necessary approvals. This transaction closed on June 1, 2015. In connection with this transaction, on April 17, 2015, we entered into a letter agreement with Fannie Mae pursuant to which we designated a portion of the expected proceeds as prepayments to secure against certain future obligations. These future obligations include repurchases, indemnifications and various fees. The total cash pre-payments are $15.4 million, including $3.2 million paid on April 27, 2015 with the remainder paid on June 1, 2015. Another $37.5 million of escrowed collateral was set aside on June 1, 2015 to secure potential future obligations not covered by the prepaid amount.</w:t>
      </w:r>
    </w:p>
    <w:p>
      <w:pPr>
        <w:spacing w:after="0" w:line="4" w:lineRule="exact"/>
        <w:rPr>
          <w:rFonts w:ascii="Arial" w:cs="Arial" w:eastAsia="Arial" w:hAnsi="Arial"/>
          <w:sz w:val="16"/>
          <w:szCs w:val="16"/>
          <w:color w:val="auto"/>
        </w:rPr>
      </w:pPr>
    </w:p>
    <w:p>
      <w:pPr>
        <w:ind w:left="820" w:right="20" w:hanging="326"/>
        <w:spacing w:after="0" w:line="250"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March 18, 2015, OLS and Green Tree Loan Servicing, a subsidiary of Walter Investment Management Corp. (collectively Walter), signed an agreement in principle for the sale of residential MSRs on a portfolio consisting of approximately 54,000 largely performing loans owned by Freddie Mac with a total UPB of approximately $9.2 billion. We executed a definitive agreement on April 29, 2015 and initial funding occurred on April 30, 2015.</w:t>
      </w:r>
    </w:p>
    <w:p>
      <w:pPr>
        <w:spacing w:after="0" w:line="1" w:lineRule="exact"/>
        <w:rPr>
          <w:rFonts w:ascii="Arial" w:cs="Arial" w:eastAsia="Arial" w:hAnsi="Arial"/>
          <w:sz w:val="18"/>
          <w:szCs w:val="18"/>
          <w:color w:val="auto"/>
        </w:rPr>
      </w:pPr>
    </w:p>
    <w:p>
      <w:pPr>
        <w:ind w:left="820" w:right="40" w:hanging="326"/>
        <w:spacing w:after="0" w:line="250"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March 24, 2015, we announced that OLS and Nationstar Mortgage LLC, an indirectly held, wholly owned subsidiary of Nationstar Mortgage Holdings Inc. (collectively, “Nationstar”), had agreed in principle to the sale of residential MSRs on a portfolio consisting of approximately 140,000 loans owned by Freddie Mac and Fannie Mae with a total UPB of approximately $24.9 billion. We closed on the sale of a portion of these MSRs, with a total UPB of approximately $2.7 billion, on April 30, 2015.</w:t>
      </w:r>
    </w:p>
    <w:p>
      <w:pPr>
        <w:spacing w:after="0" w:line="1" w:lineRule="exact"/>
        <w:rPr>
          <w:rFonts w:ascii="Arial" w:cs="Arial" w:eastAsia="Arial" w:hAnsi="Arial"/>
          <w:sz w:val="18"/>
          <w:szCs w:val="18"/>
          <w:color w:val="auto"/>
        </w:rPr>
      </w:pPr>
    </w:p>
    <w:p>
      <w:pPr>
        <w:ind w:left="820" w:right="760" w:hanging="326"/>
        <w:spacing w:after="0" w:line="250"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March 31, 2015, OLS closed on a sale agreement with Nationstar for the sale of residential MSRs on a portfolio consisting of 76,000 performing loans owned by Freddie Mac with a UPB of $9.1 billion.</w:t>
      </w:r>
    </w:p>
    <w:p>
      <w:pPr>
        <w:ind w:left="820" w:right="140" w:hanging="326"/>
        <w:spacing w:after="0" w:line="261"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 May 1, 2015, OLS closed on a sale agreement with Seterus, Inc. for the sale of residential MSRs on a portfolio consisting of 17,000 primarily nonperforming loans owned by Fannie Mae with a UPB of $3.1 billion.</w:t>
      </w:r>
    </w:p>
    <w:p>
      <w:pPr>
        <w:spacing w:after="0" w:line="7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2012 and 2013, we sold rights to receive servicing fees, excluding ancillary income, with respect to certain non-Agency MSRs (Rights to MSRs) and the related servicing advances to HLSS (together with the sale of the related servicing advances, the NRZ/HLSS Transactions).</w:t>
      </w:r>
    </w:p>
    <w:p>
      <w:pPr>
        <w:spacing w:after="0" w:line="3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our agreements, NRZ has assumed the obligation to fund new servicing advances with respect to the Rights to MSRs. However, because we remain the servicer on the loans for which the Rights to MSRs have been sold, in the event NRZ were to fail to fulfill its advance funding obligations, as the servicer under our servicing agreements, we would be contractually obligated to fund such advances. At June 30, 2015, NRZ had outstanding advances of approximately $5.6 billion in connection with the Rights to MSRs.</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sale of each tranche of Rights to MSRs to NRZ, the apportionment of these fees with respect to such tranche is subject to re-negotiation.</w:t>
      </w:r>
    </w:p>
    <w:p>
      <w:pPr>
        <w:spacing w:after="0" w:line="80"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As it relates to the NRZ/HLSS Transactions, if and when such transfer of legal ownership occurs, OLS will subservice the loans pursuant to a subservicing agreement, as amended, with NRZ.</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4" w:name="page25"/>
    <w:bookmarkEnd w:id="24"/>
    <w:p>
      <w:pPr>
        <w:ind w:right="140" w:firstLine="324"/>
        <w:spacing w:after="0" w:line="270" w:lineRule="auto"/>
        <w:rPr>
          <w:sz w:val="20"/>
          <w:szCs w:val="20"/>
          <w:color w:val="auto"/>
        </w:rPr>
      </w:pPr>
      <w:r>
        <w:rPr>
          <w:rFonts w:ascii="Arial" w:cs="Arial" w:eastAsia="Arial" w:hAnsi="Arial"/>
          <w:sz w:val="17"/>
          <w:szCs w:val="17"/>
          <w:color w:val="auto"/>
        </w:rPr>
        <w:t>Beginning April 7, 2017, NRZ has a general right to direct us to transfer servicing of the servicing agreements underlying the Rights to MSRs that we have previously sold to NRZ provided that the transfer is subject to our continued right to be paid the servicing fees and other amounts payable under our agreements. An exception to the requirement that the transfer is subject to our continued right to payment under the transferred servicing agreement exists in circumstances where a termination event (as defined in our agreements with NRZ) occurs. In these circumstances, NRZ may direct us to use commercially reasonable efforts to transfer servicing under the affected servicing agreement and, following the transfer, we would no longer be entitled to receive future servicing fee revenue with respect to the transferred servicing agreement. Regarding NRZ’s rights upon a termination event resulting from an uncured servicer rating downgrade, NRZ has agreed to a standstill until April 7, 2017 unless they determine in good faith that a trustee intends to terminate servicing under an affected servicing agreement. In these circumstances, NRZ may direct us to use commercially reasonable efforts to transfer servicing under the affected servicing agreement and, following the transfer, we would no longer be entitled to receive future servicing fee revenue. All required third party consents would need to be obtained in connection with any servicing transfer.</w:t>
      </w:r>
    </w:p>
    <w:p>
      <w:pPr>
        <w:spacing w:after="0" w:line="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To the extent servicing agreements underlying Rights to MSRs are terminated as a result of a termination event, NRZ is entitled to payment of an amount equal to a percentage of NRZ’s purchase price for the related Rights to MSRs (Liquidating Damages). We paid NRZ $2.2 million in Liquidated Damages through June 30, 2015 in connection with the termination of four servicing agreements underlying the Rights to MSRs.</w:t>
      </w:r>
    </w:p>
    <w:p>
      <w:pPr>
        <w:spacing w:after="0" w:line="5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sales of the advances in connection with MSR sales, including the HLSS Transactions, meet the requirements for sale accounting, and the advances are derecognized from our consolidated financial statements at the servicing transfer date, or, in the case of advances sold in connection with the sale of Rights to MSRs at time of the sale.</w:t>
      </w:r>
    </w:p>
    <w:p>
      <w:pPr>
        <w:spacing w:after="0" w:line="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NRZ. These advance sales did not qualify for sales treatment and were accounted for as financings.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six months ended June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2,002,503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2,636,800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(2,137,272)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(2,649,366)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276,581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410,335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At June 30, 2015, loans held for sale, at fair value with a UPB of $266.8 million were pledged to secure warehouse lines of credit in our Lending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during the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311,985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1,864,931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(346,681)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(1,574,715)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(191,870)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(79,808)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 (1)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91,508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84"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June 30, 2015 and June 30, 2014, the balances are net of valuation allowances of $14.7 million and $45.3 million, respectively. The decrease in the valuation allowance for the six months ended June 30, 2015 resulted principally from the reversal of $37.8 million of the allowance that was associated with loans that were sold to unrelated third parties during the six months ended June 30, 2015. This decrease was partly offset by an increase of $1.1 million in the allowance resulting from transfers from the liability for indemnification obligations for the initial valuation adjustment that we recognized on certain loans that we repurchased from Fannie Mae and Freddie Mac guaranteed securitizations. For the six months ended June 30, 2014, the increase in the allowance was principally the result of $13.9 million of such transfers from the liability for indemnification obligations.</w:t>
      </w:r>
    </w:p>
    <w:p>
      <w:pPr>
        <w:spacing w:after="0" w:line="4" w:lineRule="exact"/>
        <w:rPr>
          <w:rFonts w:ascii="Arial" w:cs="Arial" w:eastAsia="Arial" w:hAnsi="Arial"/>
          <w:sz w:val="16"/>
          <w:szCs w:val="16"/>
          <w:color w:val="auto"/>
        </w:rPr>
      </w:pPr>
    </w:p>
    <w:p>
      <w:pPr>
        <w:ind w:left="500" w:right="80" w:hanging="492"/>
        <w:spacing w:after="0" w:line="25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June 30, 2015 and June 30, 2014, the balances include $65.6 million and $44.2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8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June 30, 2015, Loans held for sale, at lower of cost or fair value with a UPB of $48.9 million were pledged to secure a warehouse line of credit in our Servicing segment.</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(the Ginnie Mae EBO Loans) and related advances to HLSS Mortgage LP for $612.3 million ($556.6 million for the Ginnie Mae EBO Loans and $55.7 million for the related servicing advances). We recognized a gain of $7.2 million on the sale of the loans.</w:t>
      </w:r>
    </w:p>
    <w:p>
      <w:pPr>
        <w:spacing w:after="0" w:line="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May 1, 2014, we purchased a second group of delinquent FHA-insured loans with a UPB of $451.0 million through the Ginnie Mae EBO program for $479.6 million, including delinquent interest. On May 2, 2014, we sold the Ginnie Mae EBO Loans to an unrelated third party for $462.5 million and recognized a gain of $1.3 million, including the value assigned to the retained MSRs. Separately, we sold $20.2 million of the advances related to these loans to HLSS SEZ LP. HLSS Mortgage LP and HLSS SEZ LP are now subsidiaries of NRZ.</w:t>
      </w:r>
    </w:p>
    <w:p>
      <w:pPr>
        <w:spacing w:after="0" w:line="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sales of advances to HLSS Mortgage LP and HLSS SEZ LP did not qualify for sales treatment and were accounted for as a financing. We refer to the purchase and sale of the Ginnie Mae EBO Loans and the sale of the related advances as the Ginnie Mae EBO Transactions.</w:t>
      </w:r>
    </w:p>
    <w:p>
      <w:pPr>
        <w:spacing w:after="0" w:line="6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Gain on Loans Held for Sale, Net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9940" w:type="dxa"/>
            <w:vAlign w:val="bottom"/>
            <w:gridSpan w:val="10"/>
          </w:tcPr>
          <w:p>
            <w:pPr>
              <w:ind w:left="340"/>
              <w:spacing w:after="0"/>
              <w:rPr>
                <w:sz w:val="20"/>
                <w:szCs w:val="20"/>
                <w:color w:val="auto"/>
              </w:rPr>
            </w:pPr>
            <w:r>
              <w:rPr>
                <w:rFonts w:ascii="Arial" w:cs="Arial" w:eastAsia="Arial" w:hAnsi="Arial"/>
                <w:sz w:val="18"/>
                <w:szCs w:val="18"/>
                <w:color w:val="auto"/>
                <w:w w:val="95"/>
              </w:rPr>
              <w:t>The following table summarizes the activity in Gain on loans held for sale, net, during the three and six months ended June 30:</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47,816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48,539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100,126</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103,501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1,874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(gain) on economic hedge instruments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(31,038)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45,132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89,636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82,823</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Gains on loans held for sale, net include $9.8 million and $18.3 million for the three and six months ended June 30, 2015, respectively, representing the value assigned to MSRs retained on transfers of forward loans. For the three and six months ended June 30, 2014, gains attributed to retained MSRs were $9.8 million and $21.4 million, respectively.</w:t>
      </w:r>
    </w:p>
    <w:p>
      <w:pPr>
        <w:spacing w:after="0" w:line="7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Also included in Gains on loans held for sale, net are gains of $8.7 million and $13.0 million recorded during the three and six months ended June 30, 2015, respectively, on sales of repurchased Ginnie Mae loans, which are carried at the lower of cost or fair value. For the three and six months ended June 30, 2014, gains on sales of repurchased Ginnie Mae loans were $17.9 million and $40.7 million, respectively.</w:t>
      </w:r>
    </w:p>
    <w:p>
      <w:pPr>
        <w:spacing w:after="0" w:line="5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Fair value gains recognized in connection with sales of reverse mortgages into Ginnie Mae guaranteed securitizations are also included in Gains on loans held for sale, net and amounted to $35.4 million and $61.0 million for the three and six months ended June 30, 2015, respectively. Fair value gains for the three and six months ended June 30, 2014 were $14.8 million and $31.0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net, which represent payments made on behalf of borrowers or on foreclosed properties, consisted of the following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128,217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325,550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467,891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 (1)</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293,340</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568,714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889,448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572,942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1020" w:hanging="332"/>
        <w:spacing w:after="0" w:line="402" w:lineRule="auto"/>
        <w:tabs>
          <w:tab w:leader="none" w:pos="5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balances at June 30, 2015 and December 31, 2014 are net of an allowance for losses of $59.5 million and $70.0 million, respectively. The following table summarizes the activity in advances for the six months ended 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920" w:type="dxa"/>
            <w:vAlign w:val="bottom"/>
            <w:tcBorders>
              <w:bottom w:val="single" w:sz="8" w:color="EAF9E8"/>
            </w:tcBorders>
          </w:tcPr>
          <w:p>
            <w:pPr>
              <w:spacing w:after="0"/>
              <w:rPr>
                <w:sz w:val="2"/>
                <w:szCs w:val="2"/>
                <w:color w:val="auto"/>
              </w:rPr>
            </w:pPr>
          </w:p>
        </w:tc>
        <w:tc>
          <w:tcPr>
            <w:tcW w:w="34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76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4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advances, net of new advances, and other</w:t>
            </w:r>
          </w:p>
        </w:tc>
        <w:tc>
          <w:tcPr>
            <w:tcW w:w="34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(188,113)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(34,185)</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572,942</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945,809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20" w:type="dxa"/>
            <w:vAlign w:val="bottom"/>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 Match Funded Advances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940" w:type="dxa"/>
            <w:vAlign w:val="bottom"/>
            <w:gridSpan w:val="4"/>
          </w:tcPr>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the dates indicated: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1,206,236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1,349,048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783,375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847,064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191,882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213,330</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2,181,493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w w:val="95"/>
              </w:rPr>
              <w:t>The following table summarizes the activity in match funded advances for the six months ended June 30:</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2,552,383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 of new advances, and 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(211,510)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(130,483)</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2,181,493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2,517,577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table summarizes the activity in the carrying value of amortization method servicing assets for the six months ended June 30. Amortization of mortgage servicing rights is reported net of the amortization of any servicing liabilities and includes the amount of charges we recognized to increase servicing liability obligations, if 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1,820,091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Fair value election - transfer to MSRs carried at fair value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business acquisitions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20,378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39,802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(434)</w:t>
            </w:r>
          </w:p>
        </w:tc>
      </w:tr>
      <w:tr>
        <w:trPr>
          <w:trHeight w:val="237"/>
        </w:trPr>
        <w:tc>
          <w:tcPr>
            <w:tcW w:w="8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598,305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2,022,792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(70,080)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(125,292)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526,617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1,897,500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3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648,840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2,391,873</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76"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non-Agency MSRs for which the fair value election was made was $195.3 billion.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This portfolio comprises servicing rights for which we elected the fair value option and includes Agency residential mortgage loans for which we previously hedged the related market risks and a new class of non-Agency residential mortgage loans for which we elected fair value as of January 1, 2015.</w:t>
      </w:r>
    </w:p>
    <w:p>
      <w:pPr>
        <w:sectPr>
          <w:pgSz w:w="11900" w:h="16838" w:orient="portrait"/>
          <w:cols w:equalWidth="0" w:num="1">
            <w:col w:w="11420"/>
          </w:cols>
          <w:pgMar w:left="240" w:top="796"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96" w:right="239" w:bottom="1440" w:gutter="0" w:footer="0" w:header="0"/>
          <w:type w:val="continuous"/>
        </w:sectPr>
      </w:pPr>
    </w:p>
    <w:bookmarkStart w:id="28" w:name="page29"/>
    <w:bookmarkEnd w:id="28"/>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Agency</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Non-Agency</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Agency</w:t>
            </w: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w w:val="99"/>
              </w:rPr>
              <w:t>Fair value election - transfer from MSRs carried at amortized cost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 election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(68,144)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valuation inputs or other assumptions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(9,014)</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Realization of expected future cash flows and other changes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(41,644)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18,921</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795,529</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814,450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104,220</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unaudited Consolidated Statements of Operations.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or an improving housing market (as prepayments increase) and increase in periods of rising interest rates or deteriorating housing market (as prepayments decrease). The following table summarizes the estimated change in the value of the MSRs that we carry at fair value as of June 30, 2015 given hypothetical shifts in lifetime prepayments and yield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(72,856)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(151,695)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(41,170)</w:t>
            </w:r>
          </w:p>
        </w:tc>
      </w:tr>
    </w:tbl>
    <w:p>
      <w:pPr>
        <w:spacing w:after="0" w:line="33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these hypothetical changes which in the case of our portfolio at June 30, 2015 are increased prepayment speeds and a decrease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2015</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267,996,046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267,996,046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53,674,533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181,329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53,855,862</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321,670,579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321,851,908</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361,288,281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361,288,281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37,439,446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37,589,183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398,877,464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379,570,649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379,570,649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55,549,199</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286,546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55,835,745</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435,119,848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286,546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435,406,394</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76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primary servicing UPB of $151.2 billion, $160.8 billion and $166.1 billion at June 30, 2015, December 31, 2014 and June 30, 2014, respectively, for which the Rights to MSRs have been sold to NRZ.</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3" w:right="239" w:bottom="1440" w:gutter="0" w:footer="0" w:header="0"/>
        </w:sectPr>
      </w:pPr>
    </w:p>
    <w:bookmarkStart w:id="29" w:name="page30"/>
    <w:bookmarkEnd w:id="29"/>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$2.0 billion, $2.3 billion and $2.4 billion at June 30, 2015, December 31, 2014 and June 30, 2014, respectively. Commercial assets consist of large-balance foreclosed real estate.</w:t>
      </w:r>
    </w:p>
    <w:p>
      <w:pPr>
        <w:spacing w:after="0" w:line="7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or in the event we fail to maintain required servicer ratings, among other provisions. As a result of the economic downturn of recent years, the portfolio delinquency and/or cumulative loss threshold provisions have been breached by many private-label securitizations in our non-Agency servicing portfolio. Terminations as servicer as a result of a breach of any of these provisions have been minimal. In the event we are terminated as servicer and the Rights to MSRs were sold we are obligated to compensate the NRZ. As a result of the transfer of servicing to another party during the three months ended March 31, 2015 related to Rights to MSRs we were required to reimburse NRZ $2.2 million in Liquidated Damages in accordance with our agreements.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three and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284,925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355,665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605,009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707,487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28,157</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30,609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58,614</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64,334</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313,082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386,274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663,623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771,821</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41,204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76,380</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20,273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69,368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18,494</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11,593</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25,902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36,835</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47,265</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396,983</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491,673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843,524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982,132</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 amounted to $3.4 billion and $4.1 billion at June 30, 2015 and June 30, 2014,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81,881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52,955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59,660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32,387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servicing receivables (2)</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188,549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29,516</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355,163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126,485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15,217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68,322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from related parties (3)</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58,892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 (4)</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43,286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43,690</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297,389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(34,387)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(26,793)</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379,279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270,596</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June 30, 2015 and December 31, 2014, the total allowance for losses includes $34.4 million and $26.8 million, respectively, related to receivables of our Servicing business. Allowance for losses related to defaulted FHA or VA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3" w:right="239" w:bottom="1440" w:gutter="0" w:footer="0" w:header="0"/>
        </w:sectPr>
      </w:pPr>
    </w:p>
    <w:bookmarkStart w:id="30" w:name="page31"/>
    <w:bookmarkEnd w:id="30"/>
    <w:p>
      <w:pPr>
        <w:ind w:left="500" w:right="360"/>
        <w:spacing w:after="0" w:line="282" w:lineRule="auto"/>
        <w:rPr>
          <w:sz w:val="20"/>
          <w:szCs w:val="20"/>
          <w:color w:val="auto"/>
        </w:rPr>
      </w:pPr>
      <w:r>
        <w:rPr>
          <w:rFonts w:ascii="Arial" w:cs="Arial" w:eastAsia="Arial" w:hAnsi="Arial"/>
          <w:sz w:val="18"/>
          <w:szCs w:val="18"/>
          <w:color w:val="auto"/>
        </w:rPr>
        <w:t>insured loans repurchased from Ginnie Mae guaranteed securitizations (government-insured loan claims) at June 30, 2015 and December 31, 2014 were $18.7 million and $10.0 million, respectively.</w:t>
      </w:r>
    </w:p>
    <w:p>
      <w:pPr>
        <w:spacing w:after="0" w:line="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June 30, 2015, other servicing receivables include $135.4 million related to sales of MSRs.</w:t>
      </w:r>
    </w:p>
    <w:p>
      <w:pPr>
        <w:spacing w:after="0" w:line="22"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Entities that we reported as related parties at December 31, 2014 are no longer considered to be related parties, and amounts receivable from them are now reported within Other receivables.</w:t>
      </w:r>
    </w:p>
    <w:p>
      <w:pPr>
        <w:ind w:left="500" w:right="20" w:hanging="492"/>
        <w:spacing w:after="0" w:line="25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December 31, 2014, other receivables include $28.8 million related to losses to be indemnified under the terms of the Homeward merger agreement. On March 19, 2015, we reached an agreement with the former owner of Homeward for the final settlement of all indemnification claims under the merger agreement and received $38.1 million in cash.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320,284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service accounts (2)</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119,217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91,974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31,337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22,161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16,450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backed securities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6,065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28,708</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623,350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490,811</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2"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the corresponding liability in Other liabilities.</w:t>
      </w:r>
    </w:p>
    <w:p>
      <w:pPr>
        <w:spacing w:after="0" w:line="4" w:lineRule="exact"/>
        <w:rPr>
          <w:rFonts w:ascii="Arial" w:cs="Arial" w:eastAsia="Arial" w:hAnsi="Arial"/>
          <w:sz w:val="18"/>
          <w:szCs w:val="18"/>
          <w:color w:val="auto"/>
        </w:rPr>
      </w:pPr>
    </w:p>
    <w:p>
      <w:pPr>
        <w:ind w:left="500" w:right="20" w:hanging="492"/>
        <w:spacing w:after="0" w:line="271"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Available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Borrowing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Capacity (2)</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Ocwen Freddie Servicer Advance</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Receivables Trust Series 2012-</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(3) + 175</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ADV1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Jun. 2017</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3"/>
            <w:shd w:val="clear" w:color="auto" w:fill="EAF9E8"/>
          </w:tcPr>
          <w:p>
            <w:pPr>
              <w:ind w:left="84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373,080</w:t>
            </w:r>
          </w:p>
        </w:tc>
        <w:tc>
          <w:tcPr>
            <w:tcW w:w="0" w:type="dxa"/>
            <w:vAlign w:val="bottom"/>
          </w:tcPr>
          <w:p>
            <w:pPr>
              <w:spacing w:after="0"/>
              <w:rPr>
                <w:sz w:val="1"/>
                <w:szCs w:val="1"/>
                <w:color w:val="auto"/>
              </w:rPr>
            </w:pPr>
          </w:p>
        </w:tc>
      </w:tr>
      <w:tr>
        <w:trPr>
          <w:trHeight w:val="209"/>
        </w:trPr>
        <w:tc>
          <w:tcPr>
            <w:tcW w:w="2760" w:type="dxa"/>
            <w:vAlign w:val="bottom"/>
            <w:gridSpan w:val="2"/>
          </w:tcPr>
          <w:p>
            <w:pPr>
              <w:ind w:left="40"/>
              <w:spacing w:after="0"/>
              <w:rPr>
                <w:sz w:val="20"/>
                <w:szCs w:val="20"/>
                <w:color w:val="auto"/>
              </w:rPr>
            </w:pPr>
            <w:r>
              <w:rPr>
                <w:rFonts w:ascii="Arial" w:cs="Arial" w:eastAsia="Arial" w:hAnsi="Arial"/>
                <w:sz w:val="18"/>
                <w:szCs w:val="18"/>
                <w:color w:val="auto"/>
                <w:w w:val="99"/>
              </w:rPr>
              <w:t>Ocwen Servicer Advance Funding</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(SBC) Note (5)</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2015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Pr>
          <w:p>
            <w:pPr>
              <w:spacing w:after="0"/>
              <w:rPr>
                <w:sz w:val="20"/>
                <w:szCs w:val="20"/>
                <w:color w:val="auto"/>
              </w:rPr>
            </w:pPr>
          </w:p>
        </w:tc>
        <w:tc>
          <w:tcPr>
            <w:tcW w:w="140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vMerge w:val="restart"/>
          </w:tcPr>
          <w:p>
            <w:pPr>
              <w:jc w:val="right"/>
              <w:ind w:right="10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Borrowing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760" w:type="dxa"/>
            <w:vAlign w:val="bottom"/>
            <w:gridSpan w:val="2"/>
          </w:tcPr>
          <w:p>
            <w:pPr>
              <w:ind w:left="70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Date (1)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Capacity (2)</w:t>
            </w:r>
          </w:p>
        </w:tc>
        <w:tc>
          <w:tcPr>
            <w:tcW w:w="15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2015</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jc w:val="center"/>
              <w:ind w:right="580"/>
              <w:spacing w:after="0"/>
              <w:rPr>
                <w:sz w:val="20"/>
                <w:szCs w:val="20"/>
                <w:color w:val="auto"/>
              </w:rPr>
            </w:pPr>
            <w:r>
              <w:rPr>
                <w:rFonts w:ascii="Arial" w:cs="Arial" w:eastAsia="Arial" w:hAnsi="Arial"/>
                <w:sz w:val="18"/>
                <w:szCs w:val="18"/>
                <w:color w:val="auto"/>
                <w:w w:val="90"/>
              </w:rPr>
              <w:t>Notes, Series 2013-VF2,</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191 bps (6)</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9"/>
              </w:rPr>
              <w:t>Oct. 2045</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9"/>
              </w:rPr>
              <w:t>Oct. 2015</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124,969</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439,031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519,634</w:t>
            </w:r>
          </w:p>
        </w:tc>
        <w:tc>
          <w:tcPr>
            <w:tcW w:w="0" w:type="dxa"/>
            <w:vAlign w:val="bottom"/>
          </w:tcPr>
          <w:p>
            <w:pPr>
              <w:spacing w:after="0"/>
              <w:rPr>
                <w:sz w:val="1"/>
                <w:szCs w:val="1"/>
                <w:color w:val="auto"/>
              </w:rPr>
            </w:pPr>
          </w:p>
        </w:tc>
      </w:tr>
      <w:tr>
        <w:trPr>
          <w:trHeight w:val="229"/>
        </w:trPr>
        <w:tc>
          <w:tcPr>
            <w:tcW w:w="27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Notes, Series 2013-VF2,</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343 bps (7)</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 2045</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 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8,154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27,846</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32,919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jc w:val="center"/>
              <w:ind w:right="520"/>
              <w:spacing w:after="0"/>
              <w:rPr>
                <w:sz w:val="20"/>
                <w:szCs w:val="20"/>
                <w:color w:val="auto"/>
              </w:rPr>
            </w:pPr>
            <w:r>
              <w:rPr>
                <w:rFonts w:ascii="Arial" w:cs="Arial" w:eastAsia="Arial" w:hAnsi="Arial"/>
                <w:sz w:val="18"/>
                <w:szCs w:val="18"/>
                <w:color w:val="auto"/>
                <w:w w:val="90"/>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+ 175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9"/>
              </w:rPr>
              <w:t>Oct. 2045</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9"/>
              </w:rPr>
              <w:t>Oct. 2015</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133,123</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466,877</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552,553</w:t>
            </w:r>
          </w:p>
        </w:tc>
        <w:tc>
          <w:tcPr>
            <w:tcW w:w="0" w:type="dxa"/>
            <w:vAlign w:val="bottom"/>
          </w:tcPr>
          <w:p>
            <w:pPr>
              <w:spacing w:after="0"/>
              <w:rPr>
                <w:sz w:val="1"/>
                <w:szCs w:val="1"/>
                <w:color w:val="auto"/>
              </w:rPr>
            </w:pPr>
          </w:p>
        </w:tc>
      </w:tr>
      <w:tr>
        <w:trPr>
          <w:trHeight w:val="229"/>
        </w:trPr>
        <w:tc>
          <w:tcPr>
            <w:tcW w:w="27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+ 175 bps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Notes - Series 2014-VF4</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 2045</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 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133,123</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466,877</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552,553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Total Ocwen Master Advance</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Receivables Trust (OMART)</w:t>
            </w:r>
          </w:p>
        </w:tc>
        <w:tc>
          <w:tcPr>
            <w:tcW w:w="12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399,369</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1,400,631</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1,657,659</w:t>
            </w:r>
          </w:p>
        </w:tc>
        <w:tc>
          <w:tcPr>
            <w:tcW w:w="0" w:type="dxa"/>
            <w:vAlign w:val="bottom"/>
          </w:tcPr>
          <w:p>
            <w:pPr>
              <w:spacing w:after="0"/>
              <w:rPr>
                <w:sz w:val="1"/>
                <w:szCs w:val="1"/>
                <w:color w:val="auto"/>
              </w:rPr>
            </w:pPr>
          </w:p>
        </w:tc>
      </w:tr>
      <w:tr>
        <w:trPr>
          <w:trHeight w:val="209"/>
        </w:trPr>
        <w:tc>
          <w:tcPr>
            <w:tcW w:w="27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Notes, Series 2014-VF1,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275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2045</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2015</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39,514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jc w:val="center"/>
              <w:ind w:right="580"/>
              <w:spacing w:after="0"/>
              <w:rPr>
                <w:sz w:val="20"/>
                <w:szCs w:val="20"/>
                <w:color w:val="auto"/>
              </w:rPr>
            </w:pPr>
            <w:r>
              <w:rPr>
                <w:rFonts w:ascii="Arial" w:cs="Arial" w:eastAsia="Arial" w:hAnsi="Arial"/>
                <w:sz w:val="18"/>
                <w:szCs w:val="18"/>
                <w:color w:val="auto"/>
                <w:w w:val="90"/>
              </w:rPr>
              <w:t>Notes, Series 2014-VF1,</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B</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325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2045</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2015</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16,907</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29"/>
        </w:trPr>
        <w:tc>
          <w:tcPr>
            <w:tcW w:w="276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Notes, Series 2014-VF1,</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0"/>
              <w:spacing w:after="0"/>
              <w:rPr>
                <w:sz w:val="20"/>
                <w:szCs w:val="20"/>
                <w:color w:val="auto"/>
              </w:rPr>
            </w:pPr>
            <w:r>
              <w:rPr>
                <w:rFonts w:ascii="Arial" w:cs="Arial" w:eastAsia="Arial" w:hAnsi="Arial"/>
                <w:sz w:val="18"/>
                <w:szCs w:val="18"/>
                <w:color w:val="auto"/>
              </w:rPr>
              <w:t>Class C</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375 bps</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2045</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Dec. 2015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12,732</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EAF9E8"/>
          </w:tcPr>
          <w:p>
            <w:pPr>
              <w:jc w:val="center"/>
              <w:ind w:right="540"/>
              <w:spacing w:after="0"/>
              <w:rPr>
                <w:sz w:val="20"/>
                <w:szCs w:val="20"/>
                <w:color w:val="auto"/>
              </w:rPr>
            </w:pPr>
            <w:r>
              <w:rPr>
                <w:rFonts w:ascii="Arial" w:cs="Arial" w:eastAsia="Arial" w:hAnsi="Arial"/>
                <w:sz w:val="18"/>
                <w:szCs w:val="18"/>
                <w:color w:val="auto"/>
                <w:w w:val="89"/>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EAF9E8"/>
          </w:tcPr>
          <w:p>
            <w:pPr>
              <w:jc w:val="center"/>
              <w:ind w:right="580"/>
              <w:spacing w:after="0"/>
              <w:rPr>
                <w:sz w:val="20"/>
                <w:szCs w:val="20"/>
                <w:color w:val="auto"/>
              </w:rPr>
            </w:pPr>
            <w:r>
              <w:rPr>
                <w:rFonts w:ascii="Arial" w:cs="Arial" w:eastAsia="Arial" w:hAnsi="Arial"/>
                <w:sz w:val="18"/>
                <w:szCs w:val="18"/>
                <w:color w:val="auto"/>
                <w:w w:val="90"/>
              </w:rPr>
              <w:t>Notes, Series 2014-VF1,</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D</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470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2045</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2015</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9"/>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Total Ocwen Servicer Advance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Receivables Trust III</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340"/>
              <w:spacing w:after="0"/>
              <w:rPr>
                <w:sz w:val="20"/>
                <w:szCs w:val="20"/>
                <w:color w:val="auto"/>
              </w:rPr>
            </w:pPr>
            <w:r>
              <w:rPr>
                <w:rFonts w:ascii="Arial" w:cs="Arial" w:eastAsia="Arial" w:hAnsi="Arial"/>
                <w:sz w:val="18"/>
                <w:szCs w:val="18"/>
                <w:color w:val="auto"/>
              </w:rPr>
              <w:t>(OSARTIII) (10)</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39,514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72,986</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59,014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vMerge w:val="restart"/>
          </w:tcPr>
          <w:p>
            <w:pPr>
              <w:jc w:val="right"/>
              <w:ind w:right="10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66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Capacity (2)</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+ 212.5</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182,495</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33,918</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2015-VF1,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2015-VF1,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+ 350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8"/>
              </w:rPr>
              <w:t>Jun. 2016</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2015-VF1,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Jun.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2015-T1,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2.062%</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57,100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2015-T1,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2.557%</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2045</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Nov. 2015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2015-T1,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3.051%</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Nov.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2015-T1,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3.790%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2045</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Nov. 2015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2015-T2,</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2.014%</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127,200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2.509%</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2045</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Sep. 2015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Notes, Series 2015-T2,</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37"/>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3.003%</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Notes, Series 2015-T2,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3.743%</w:t>
            </w: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2045</w:t>
            </w:r>
          </w:p>
        </w:tc>
        <w:tc>
          <w:tcPr>
            <w:tcW w:w="172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Sep. 2015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6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Total Ocwen Freddie Advance</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57"/>
        </w:trPr>
        <w:tc>
          <w:tcPr>
            <w:tcW w:w="26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Funding Facility (OFAF) (11)</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182,495</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267,505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31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5"/>
        </w:trPr>
        <w:tc>
          <w:tcPr>
            <w:tcW w:w="2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72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621,378</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1,741,122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2,090,247</w:t>
            </w:r>
          </w:p>
        </w:tc>
      </w:tr>
      <w:tr>
        <w:trPr>
          <w:trHeight w:val="20"/>
        </w:trPr>
        <w:tc>
          <w:tcPr>
            <w:tcW w:w="2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26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amortization date of our advance financing facilities is the date on which the revolving period ends under each advance financing facility note and repayment of the outstanding balance must begin if the note is not renewed or extended. The maturity date is the date on which all outstanding balances must be repaid. In each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3" w:lineRule="exact"/>
        <w:rPr>
          <w:rFonts w:ascii="Arial" w:cs="Arial" w:eastAsia="Arial" w:hAnsi="Arial"/>
          <w:sz w:val="18"/>
          <w:szCs w:val="18"/>
          <w:color w:val="auto"/>
        </w:rPr>
      </w:pPr>
    </w:p>
    <w:p>
      <w:pPr>
        <w:ind w:left="500" w:right="180" w:hanging="492"/>
        <w:spacing w:after="0" w:line="281"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June 30, 2015, $169.6 million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1-Month LIBOR (1ML) was 0.19% and 0.17% at June 30, 2015 and December 31, 2014, respectively.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repaid this facility in full in June 2015 from the proceeds of the OFAF facility.</w:t>
      </w:r>
    </w:p>
    <w:p>
      <w:pPr>
        <w:sectPr>
          <w:pgSz w:w="11900" w:h="16838" w:orient="portrait"/>
          <w:cols w:equalWidth="0" w:num="1">
            <w:col w:w="11420"/>
          </w:cols>
          <w:pgMar w:left="240" w:top="74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42" w:right="239" w:bottom="1440" w:gutter="0" w:footer="0" w:header="0"/>
          <w:type w:val="continuous"/>
        </w:sectPr>
      </w:pPr>
    </w:p>
    <w:bookmarkStart w:id="33" w:name="page34"/>
    <w:bookmarkEnd w:id="33"/>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voluntarily terminated this facility on January 15, 2015.</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215 bps on August 15, 2015 and to 239 bps on September 15,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386 bps on August 15, 2015 and to 429 bps on September 15, 2015.</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margin on this note is scheduled to increase to 200 bps on July 15, 2015, 225 bps on August 15, 2015 and to 250 bps on September 15, 2015.</w:t>
      </w:r>
    </w:p>
    <w:p>
      <w:pPr>
        <w:ind w:left="500" w:right="160" w:hanging="492"/>
        <w:spacing w:after="0" w:line="265"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interest margin on this note was scheduled to increase to 200 bps on July 15, 2015, 225 bps on August 15, 2015 and to 250 bps on September 15, 2015. Effective July 1, 2015, the Series 2014-VF4 note was replaced by four notes - VF4 Class A with a maximum borrowing capacity of $515,076 and a margin of 154 bps; Class B with a maximum borrowing capacity of $20,744 and a margin of 200 bps; Class C with a maximum borrowing capacity of $24,614 and a margin of 275 bps; and Class D with a maximum borrowing capacity of $39,566 and a margin of 375 bps. However, the weighted average margin on the Series 2014-VF4 notes is limited to 175 bps.</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April 23, 2015, the maximum borrowing under this facility decreases by $6.3 million per month until it is reduced to $75.0 million.</w:t>
      </w:r>
    </w:p>
    <w:p>
      <w:pPr>
        <w:spacing w:after="0" w:line="9" w:lineRule="exact"/>
        <w:rPr>
          <w:rFonts w:ascii="Arial" w:cs="Arial" w:eastAsia="Arial" w:hAnsi="Arial"/>
          <w:sz w:val="18"/>
          <w:szCs w:val="18"/>
          <w:color w:val="auto"/>
        </w:rPr>
      </w:pPr>
    </w:p>
    <w:p>
      <w:pPr>
        <w:ind w:left="500" w:right="120" w:hanging="492"/>
        <w:spacing w:after="0" w:line="30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entered into this facility on June 10, 2015. Under the terms of the agreement, we must continue to borrow the full amount of the Series 2015-T1 and Series 2015-T2 term notes until the amortization date. If there is insufficient collateral to support the level of borrowing, the excess cash proceeds are not distributed to Ocwen but are held by the trustee, and interest expense continues to be based on the full amount of the term notes.</w:t>
      </w:r>
    </w:p>
    <w:p>
      <w:pPr>
        <w:spacing w:after="0" w:line="4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Pursuant to our agreements with NRZ, NRZ had assumed the obligation to fund new servicing advances with respect to the Rights to MSRs. We are dependent upon NRZ for financing of the servicing advance obligations for MSRs where we are the named servicer. NRZ currently uses advance financing facilities in order to fund a substantial portion of the servicing advances that they are contractually obligated to make pursuant to our agreements with them. As of June 30, 2015, we were the named servicer on Rights to MSRs sold to NRZ pertaining to approximately $151.2 billion in UPB and the associated outstanding servicing advances as of such date were approximately $5.6 billion. Should NRZ’s advance financing facilities fail to perform as envisaged or should NRZ otherwise be unable to meet its advance financing obligations, our liquidity, financial condition and business could be materially and adversely affected. As the named servicer, we are contractually required under our servicing agreements to make the relevant servicing advances even if NRZ does not perform its contractual obligations to fund those advances.</w:t>
      </w:r>
    </w:p>
    <w:p>
      <w:pPr>
        <w:spacing w:after="0" w:line="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Although we were not an obligor or guarantor under NRZ’s advance financing facilities, we are a party to certain of the facility documents as the named servicer of the underlying loans on which advances are being financed. A purported owner of notes issued by one of NRZ’s advance financing facilities within recent months asserted in letters written to the indenture trustee that events of default have occurred under the indenture governing those notes based on alleged failures by us to comply with applicable laws and regulations and the terms of the servicing agreement to which the applicable servicing advances relate. While we have vigorously defended ourselves against these allegations, we have consented to an arrangement between NRZ and the indenture trustee for those notes that provides for a standstill for the indenture trustee to investigate the allegations of default during which the indenture trustee will not initiate a court proceeding. If an event of default were to be declared under this or any other advance financing facility used by NRZ, NRZ may not be able to perform under their agreements with us. As a result, our liquidity, financial condition and business could be materially and adversely affected. In addition, it is possible that NRZ might seek to take actions against us alleging that we bear responsibility for such outcomes, or alleging that we have breached representations and warranties made in connection with our sale of advances to NRZ, any of which could also materially and adversely affect us.</w:t>
      </w:r>
    </w:p>
    <w:p>
      <w:pPr>
        <w:spacing w:after="0" w:line="6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NRZ has amended the supplements pertaining to their variable funding notes under these advance financing facilities to extend the revolving periods and increase the aggregate commitments thereunder and to clarify, among other things, that the variable noteholders will not consider a violation of law or of relevant servicing agreements to constitute an event of default with respect to those notes unless they result in a material adverse effect on the collectability, timing of collection or value of the advance receivables. The amendments also provide that the variable noteholders will not consider the allegations made by the purported owner of the notes to constitute a violation of funding conditions and have agreed to continue to fund draws on the facility including, if necessary, to refinance the outstanding term notes under the facility. In addition, if the outstanding term notes are refinanced the variable noteholders have agreed that they shall not consider the allegations made by the purported owner of the notes to constitute an event of default.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60" w:type="dxa"/>
            <w:vAlign w:val="bottom"/>
            <w:gridSpan w:val="4"/>
          </w:tcPr>
          <w:p>
            <w:pPr>
              <w:ind w:left="340"/>
              <w:spacing w:after="0"/>
              <w:rPr>
                <w:sz w:val="20"/>
                <w:szCs w:val="20"/>
                <w:color w:val="auto"/>
              </w:rPr>
            </w:pPr>
            <w:r>
              <w:rPr>
                <w:rFonts w:ascii="Arial" w:cs="Arial" w:eastAsia="Arial" w:hAnsi="Arial"/>
                <w:sz w:val="18"/>
                <w:szCs w:val="18"/>
                <w:color w:val="auto"/>
                <w:w w:val="95"/>
              </w:rPr>
              <w:t>Financing liabilities are comprised of the following at the dates indicated: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581,219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614,441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5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Secured Notes, Ocwen Asset Servicing Income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458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(2)</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88"/>
              </w:rPr>
              <w:t>Feb. 2028</w:t>
            </w: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103,422</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111,459</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loans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71,031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88,489</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755,672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814,389</w:t>
            </w:r>
          </w:p>
        </w:tc>
      </w:tr>
      <w:tr>
        <w:trPr>
          <w:trHeight w:val="29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1ML + 246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rPr>
              <w:t>(LHFI)</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1,987,998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1,444,252</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2,743,670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2,258,641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74"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financing liability arose in connection with the NRZ/HLSS Transactions and has no contractual maturity. The balance of the liability is adjusted each reporting period to its fair value based on the present value of the estimated future cash flows underlying the related MSRs.</w:t>
      </w:r>
    </w:p>
    <w:p>
      <w:pPr>
        <w:ind w:left="500" w:right="60" w:hanging="492"/>
        <w:spacing w:after="0" w:line="265"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sales of advances in 2014 did not qualify for sales accounting treatment and were accounted for as a financing.</w:t>
      </w:r>
    </w:p>
    <w:p>
      <w:pPr>
        <w:spacing w:after="0" w:line="9"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Available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880" w:type="dxa"/>
            <w:vAlign w:val="bottom"/>
            <w:gridSpan w:val="2"/>
          </w:tcPr>
          <w:p>
            <w:pPr>
              <w:ind w:left="940"/>
              <w:spacing w:after="0"/>
              <w:rPr>
                <w:sz w:val="20"/>
                <w:szCs w:val="20"/>
                <w:color w:val="auto"/>
              </w:rPr>
            </w:pPr>
            <w:r>
              <w:rPr>
                <w:rFonts w:ascii="Arial" w:cs="Arial" w:eastAsia="Arial" w:hAnsi="Arial"/>
                <w:sz w:val="18"/>
                <w:szCs w:val="18"/>
                <w:b w:val="1"/>
                <w:bCs w:val="1"/>
                <w:color w:val="auto"/>
              </w:rPr>
              <w:t>Borrowings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rate + 375 bps with 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SSTL (1)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 bps (1)</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936,135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1,277,250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7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6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57"/>
        </w:trPr>
        <w:tc>
          <w:tcPr>
            <w:tcW w:w="28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(2)</w:t>
            </w:r>
          </w:p>
        </w:tc>
        <w:tc>
          <w:tcPr>
            <w:tcW w:w="12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1"/>
              </w:rPr>
              <w:t>sale (LHFS)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1ML + 200 - 345 bps</w:t>
            </w:r>
          </w:p>
        </w:tc>
        <w:tc>
          <w:tcPr>
            <w:tcW w:w="126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Jul. 2015</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42,868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32,018</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979,003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1,309,268</w:t>
            </w:r>
          </w:p>
        </w:tc>
      </w:tr>
      <w:tr>
        <w:trPr>
          <w:trHeight w:val="27"/>
        </w:trPr>
        <w:tc>
          <w:tcPr>
            <w:tcW w:w="27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6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r>
      <w:tr>
        <w:trPr>
          <w:trHeight w:val="4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Available</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Borrowing</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3"/>
          </w:tcPr>
          <w:p>
            <w:pPr>
              <w:ind w:left="220"/>
              <w:spacing w:after="0"/>
              <w:rPr>
                <w:sz w:val="20"/>
                <w:szCs w:val="20"/>
                <w:color w:val="auto"/>
              </w:rPr>
            </w:pPr>
            <w:r>
              <w:rPr>
                <w:rFonts w:ascii="Arial" w:cs="Arial" w:eastAsia="Arial" w:hAnsi="Arial"/>
                <w:sz w:val="18"/>
                <w:szCs w:val="18"/>
                <w:b w:val="1"/>
                <w:bCs w:val="1"/>
                <w:color w:val="auto"/>
              </w:rPr>
              <w:t>Maturity</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Capacity</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Lending: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+ 175 bps</w:t>
            </w:r>
          </w:p>
        </w:tc>
        <w:tc>
          <w:tcPr>
            <w:tcW w:w="138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Jul. 2015</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172,270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208,010</w:t>
            </w:r>
          </w:p>
        </w:tc>
      </w:tr>
      <w:tr>
        <w:trPr>
          <w:trHeight w:val="243"/>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Apr. 2016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41,646</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EAF9E8"/>
            </w:tcBorders>
            <w:gridSpan w:val="3"/>
            <w:shd w:val="clear" w:color="auto" w:fill="EAF9E8"/>
          </w:tcPr>
          <w:p>
            <w:pPr>
              <w:ind w:left="200"/>
              <w:spacing w:after="0"/>
              <w:rPr>
                <w:sz w:val="20"/>
                <w:szCs w:val="20"/>
                <w:color w:val="auto"/>
              </w:rPr>
            </w:pPr>
            <w:r>
              <w:rPr>
                <w:rFonts w:ascii="Arial" w:cs="Arial" w:eastAsia="Arial" w:hAnsi="Arial"/>
                <w:sz w:val="18"/>
                <w:szCs w:val="18"/>
                <w:color w:val="auto"/>
              </w:rPr>
              <w:t>Apr. 2016</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69,175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196</w:t>
            </w: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+ 175 - 275</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6"/>
              </w:rPr>
              <w:t>Master repurchase agreement (6)</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Jul. 2015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102,073</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rPr>
              <w:t>LHFI</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+ 275bps</w:t>
            </w:r>
          </w:p>
        </w:tc>
        <w:tc>
          <w:tcPr>
            <w:tcW w:w="138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Jul. 2015</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52,678</w:t>
            </w:r>
          </w:p>
        </w:tc>
      </w:tr>
      <w:tr>
        <w:trPr>
          <w:trHeight w:val="229"/>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rPr>
              <w:t>LHFI</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floor of 350 bps</w:t>
            </w: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Jul. 2015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25,320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23,851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314,766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428,454</w:t>
            </w:r>
          </w:p>
        </w:tc>
      </w:tr>
      <w:tr>
        <w:trPr>
          <w:trHeight w:val="169"/>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0"/>
        </w:trPr>
        <w:tc>
          <w:tcPr>
            <w:tcW w:w="2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1,293,769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1,737,722</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Discount (1)</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(4,031)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gridSpan w:val="3"/>
            <w:shd w:val="clear" w:color="auto" w:fill="EAF9E8"/>
          </w:tcPr>
          <w:p>
            <w:pPr>
              <w:ind w:left="128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11,032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1,290,431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1,733,691</w:t>
            </w: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2, 2015, we entered into an amendment to the SSTL facility agreement. Among other things, the amendment:</w:t>
      </w:r>
    </w:p>
    <w:p>
      <w:pPr>
        <w:spacing w:after="0" w:line="23" w:lineRule="exact"/>
        <w:rPr>
          <w:rFonts w:ascii="Arial" w:cs="Arial" w:eastAsia="Arial" w:hAnsi="Arial"/>
          <w:sz w:val="18"/>
          <w:szCs w:val="18"/>
          <w:color w:val="auto"/>
        </w:rPr>
      </w:pPr>
    </w:p>
    <w:p>
      <w:pPr>
        <w:ind w:left="820" w:right="80" w:hanging="326"/>
        <w:spacing w:after="0" w:line="265" w:lineRule="auto"/>
        <w:tabs>
          <w:tab w:leader="none" w:pos="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eliminates the dollar cap on the general asset sale basket and requires Ocwen to use 75% of the net cash proceeds from permitted asset sales under such general asset basket to prepay the loans under the SSTL and, subject to certain conditions, permits Ocwen to use the remaining 25% of such net cash proceeds to reinvest in assets used in the business of OLS and its subsidiaries within 120 days of receipt thereof (subject to an extension of up to 90 days if a binding agreement is entered into within such 120 days); and</w:t>
      </w:r>
    </w:p>
    <w:p>
      <w:pPr>
        <w:ind w:left="820" w:hanging="326"/>
        <w:spacing w:after="0"/>
        <w:tabs>
          <w:tab w:leader="none" w:pos="8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increases the quarterly covenant levels of the corporate leverage ratio to 3.5-to-1 for the fiscal quarter ended March 31, 2015 and thereafter.</w:t>
      </w:r>
    </w:p>
    <w:p>
      <w:pPr>
        <w:spacing w:after="0" w:line="20" w:lineRule="exact"/>
        <w:rPr>
          <w:rFonts w:ascii="Arial" w:cs="Arial" w:eastAsia="Arial" w:hAnsi="Arial"/>
          <w:sz w:val="17"/>
          <w:szCs w:val="17"/>
          <w:color w:val="auto"/>
        </w:rPr>
      </w:pPr>
    </w:p>
    <w:p>
      <w:pPr>
        <w:ind w:left="500" w:right="54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$50.0 million and, at the discretion of the lender, on an uncommitted basis for an additional $50.0 million.</w:t>
      </w:r>
    </w:p>
    <w:p>
      <w:pPr>
        <w:ind w:left="500" w:right="46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 this repurchase agreement, the lender provides financing on a committed basis for $150.0 million and, at the discretion of the lender, on an uncommitted basis for an additional $150.0 million. The maturity of this facility has been extended to August 28, 2015.</w:t>
      </w:r>
    </w:p>
    <w:p>
      <w:pPr>
        <w:jc w:val="both"/>
        <w:ind w:left="500" w:right="80" w:hanging="492"/>
        <w:spacing w:after="0" w:line="265"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16, 2015, the maximum borrowing capacity was increased to $100.0 million.</w:t>
      </w:r>
    </w:p>
    <w:p>
      <w:pPr>
        <w:jc w:val="both"/>
        <w:ind w:left="500" w:right="8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this participation agreement, the lender provides financing for $150.0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16, 2015, this facility was voluntarily terminated.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16, 2015, the maximum borrowing capacity under this agreement was reduced to $37.5 million.</w:t>
      </w:r>
    </w:p>
    <w:p>
      <w:pPr>
        <w:spacing w:after="0" w:line="9" w:lineRule="exact"/>
        <w:rPr>
          <w:rFonts w:ascii="Arial" w:cs="Arial" w:eastAsia="Arial" w:hAnsi="Arial"/>
          <w:sz w:val="18"/>
          <w:szCs w:val="18"/>
          <w:color w:val="auto"/>
        </w:rPr>
      </w:pPr>
    </w:p>
    <w:p>
      <w:pPr>
        <w:ind w:left="500" w:right="300" w:hanging="492"/>
        <w:spacing w:after="0" w:line="261"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 capacity of $60.0 million under this facility is available at the discretion of the lender. On July 22, 2015, the maturity of this facility was extended to August 26, 2015.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7"/>
          <w:szCs w:val="17"/>
          <w:color w:val="auto"/>
        </w:rPr>
        <w:t>On May 12, 2014, Ocwen completed the issuance and sale of $350.0 million of its 6.625% Senior Notes due 2019 (the Senior Unsecured Notes) in a private offering. The Senior Unsecured Notes are general senior unsecured obligations of Ocwen and will mature on May 15, 2019. Interest is payable semi-annually on May 15</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and November 15</w:t>
      </w:r>
      <w:r>
        <w:rPr>
          <w:rFonts w:ascii="Arial" w:cs="Arial" w:eastAsia="Arial" w:hAnsi="Arial"/>
          <w:sz w:val="17"/>
          <w:szCs w:val="17"/>
          <w:color w:val="auto"/>
          <w:vertAlign w:val="superscript"/>
        </w:rPr>
        <w:t>th</w:t>
      </w:r>
      <w:r>
        <w:rPr>
          <w:rFonts w:ascii="Arial" w:cs="Arial" w:eastAsia="Arial" w:hAnsi="Arial"/>
          <w:sz w:val="17"/>
          <w:szCs w:val="17"/>
          <w:color w:val="auto"/>
        </w:rPr>
        <w:t>. The Senior Unsecured Notes are not guaranteed by any of Ocwen’s subsidiaries.</w:t>
      </w:r>
    </w:p>
    <w:p>
      <w:pPr>
        <w:spacing w:after="0" w:line="4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Ocwen entered into a Registration Rights Agreement under which it agreed for the benefit of the initial purchasers of the Senior Unsecured Notes to use commercially reasonable efforts to file a registration statement and to have the registration statement become effective on or prior to 270 days after the closing of the offering. Because the exchange offer was not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6" w:name="page37"/>
    <w:bookmarkEnd w:id="36"/>
    <w:p>
      <w:pPr>
        <w:ind w:right="20"/>
        <w:spacing w:after="0" w:line="286" w:lineRule="auto"/>
        <w:rPr>
          <w:sz w:val="20"/>
          <w:szCs w:val="20"/>
          <w:color w:val="auto"/>
        </w:rPr>
      </w:pPr>
      <w:r>
        <w:rPr>
          <w:rFonts w:ascii="Arial" w:cs="Arial" w:eastAsia="Arial" w:hAnsi="Arial"/>
          <w:sz w:val="17"/>
          <w:szCs w:val="17"/>
          <w:color w:val="auto"/>
        </w:rPr>
        <w:t>completed on or before 270 days after the closing of the offering, additional interest accrues on the principal amount of the notes at a rate of 0.25% per annum (which rate will be increased by an additional 0.25% per annum for each subsequent 90-day period that such additional interest continues to accrue to a maximum of 1.0% per annum) until the exchange offer is completed or the shelf registration statement, if required, is declared effective.</w:t>
      </w:r>
    </w:p>
    <w:p>
      <w:pPr>
        <w:spacing w:after="0" w:line="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$5.2 million at June 30,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right="30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specified interest coverage ratio, which is defined under our SSTL as the ratio of four quarter adjusted EBITDA to four quarter interest expense (each as defined therein);</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specified corporate leverage ratio, which is defined under our SSTL as consolidated corporate debt to four quarter adjusted EBITDA (each as defined therein);</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specified levels of consolidated tangible net worth, liquidity and at the OLS level, net operating income.</w:t>
      </w:r>
    </w:p>
    <w:p>
      <w:pPr>
        <w:spacing w:after="0" w:line="10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As of June 30, 2015, the most restrictive consolidated tangible net worth requirement was $630.0 million plus 65% of quarterly net income, without adjustment for quarterly net losses, beginning with the three months ended December 31, 2012. The required consolidated tangible net worth in connection with this agreement was $985.7 million at June 30, 2015.</w:t>
      </w:r>
    </w:p>
    <w:p>
      <w:pPr>
        <w:spacing w:after="0" w:line="7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320,284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142,592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related parties (2)</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55,585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loan servicing and subservicing investors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30,131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selected tax items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28,436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73,503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734,386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720" w:hanging="492"/>
        <w:spacing w:after="0" w:line="258"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we have re-recognized certain loans on our consolidated balance sheets and establish a corresponding repurchase liability regardless of our intention to repurchase the loan.</w:t>
      </w:r>
    </w:p>
    <w:p>
      <w:pPr>
        <w:spacing w:after="0" w:line="1" w:lineRule="exact"/>
        <w:rPr>
          <w:rFonts w:ascii="Arial" w:cs="Arial" w:eastAsia="Arial" w:hAnsi="Arial"/>
          <w:sz w:val="18"/>
          <w:szCs w:val="18"/>
          <w:color w:val="auto"/>
        </w:rPr>
      </w:pPr>
    </w:p>
    <w:p>
      <w:pPr>
        <w:ind w:left="500" w:right="180" w:hanging="492"/>
        <w:spacing w:after="0" w:line="261"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Entities that we reported as related parties at December 31, 2014 are no longer considered to be related parties, and amounts payable to them are now reported within Other.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six months ended June 30,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Forward MBS</w:t>
            </w:r>
          </w:p>
        </w:tc>
        <w:tc>
          <w:tcPr>
            <w:tcW w:w="12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Trades (1)</w:t>
            </w: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Caps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Swaps</w:t>
            </w:r>
          </w:p>
        </w:tc>
        <w:tc>
          <w:tcPr>
            <w:tcW w:w="0" w:type="dxa"/>
            <w:vAlign w:val="bottom"/>
          </w:tcPr>
          <w:p>
            <w:pPr>
              <w:spacing w:after="0"/>
              <w:rPr>
                <w:sz w:val="1"/>
                <w:szCs w:val="1"/>
                <w:color w:val="auto"/>
              </w:rPr>
            </w:pPr>
          </w:p>
        </w:tc>
      </w:tr>
      <w:tr>
        <w:trPr>
          <w:trHeight w:val="27"/>
        </w:trPr>
        <w:tc>
          <w:tcPr>
            <w:tcW w:w="52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239,406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703,725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1,729,000</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2,791,259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5,440,504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225,000</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(198,000)</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(2,352,943)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(2,877,370)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4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(327,652)</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(2,617,646)</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350,070</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649,213</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1,756,000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2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June 30, 2015</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5,056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6,065</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2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July 2015 - Sept.</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Aug. 2015 - Sept.</w:t>
            </w:r>
          </w:p>
        </w:tc>
        <w:tc>
          <w:tcPr>
            <w:tcW w:w="12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Nov. 2016 - Oct.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right="380" w:hanging="411"/>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commitments and originations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the Philippines also expose us to foreign currency exchange rate risk, but we currently consider this risk to be insignificant.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one-month LIBOR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June 30, 2015 and the gains (losses) on all derivatives used in each of the identified hedging programs for the year to date period then ended. None of the derivatives was designated as a hedge for accounting purposes at June 30, 2015: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39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Notional 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(1)</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Gains / (Losses)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Interest rate risk of borrowings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Nov. 2016 -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Interest rate caps (2)</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1,756,000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Other, net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90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3"/>
              </w:rPr>
              <w:t>Interest rate risk of mortgage loans held for sale</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41"/>
        </w:trPr>
        <w:tc>
          <w:tcPr>
            <w:tcW w:w="39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and of IRLCs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2015 -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3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Sept. 2015</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649,213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for sale, net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July 2015 -</w:t>
            </w: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Gain on loans held</w:t>
            </w:r>
          </w:p>
        </w:tc>
      </w:tr>
      <w:tr>
        <w:trPr>
          <w:trHeight w:val="257"/>
        </w:trPr>
        <w:tc>
          <w:tcPr>
            <w:tcW w:w="39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Sept. 2015</w:t>
            </w:r>
          </w:p>
        </w:tc>
        <w:tc>
          <w:tcPr>
            <w:tcW w:w="40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350,070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for sale, net</w:t>
            </w:r>
          </w:p>
        </w:tc>
      </w:tr>
      <w:tr>
        <w:trPr>
          <w:trHeight w:val="257"/>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Total derivatives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unaudited Consolidated Balance Sheets.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hedge the effect of changes in 1ML on advance funding facilities.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jc w:val="both"/>
        <w:ind w:left="60" w:right="20" w:firstLine="324"/>
        <w:spacing w:after="0" w:line="264" w:lineRule="auto"/>
        <w:rPr>
          <w:sz w:val="20"/>
          <w:szCs w:val="20"/>
          <w:color w:val="auto"/>
        </w:rPr>
      </w:pPr>
      <w:r>
        <w:rPr>
          <w:rFonts w:ascii="Arial" w:cs="Arial" w:eastAsia="Arial" w:hAnsi="Arial"/>
          <w:sz w:val="18"/>
          <w:szCs w:val="18"/>
          <w:color w:val="auto"/>
        </w:rPr>
        <w:t>Included in AOCL at June 30, 2015 and 2014, respectively, were $2.4 million and $9.6 million of deferred unrealized losses, before taxes of $0.1 million and $0.5 million, respectively, on interest rate swaps that we designated as cash flow hedges. Changes in AOCL during the six months ended June 30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accumulated losses on cash flow hedges, net of taxes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(978)</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 of taxes</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9,171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June 30, 2015, amortization of accumulated losses on cash flow hedges from AOCL to Other income (expense), net is projected to be $0.3 million during the next twelve months. To the extent we sell the MSRs to which the accumulated losses on cash flow hedges applied, a proportionate amount of the remaining unamortized accumulated losses associated with the MSRs sold is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three and six months ended June 30:</w:t>
      </w:r>
    </w:p>
    <w:p>
      <w:pPr>
        <w:sectPr>
          <w:pgSz w:w="11900" w:h="16838" w:orient="portrait"/>
          <w:cols w:equalWidth="0" w:num="1">
            <w:col w:w="11420"/>
          </w:cols>
          <w:pgMar w:left="240" w:top="692" w:right="239" w:bottom="1440" w:gutter="0" w:footer="0" w:header="0"/>
        </w:sectPr>
      </w:pPr>
    </w:p>
    <w:p>
      <w:pPr>
        <w:spacing w:after="0" w:line="167"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34290</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57" w:lineRule="exact"/>
        <w:rPr>
          <w:sz w:val="20"/>
          <w:szCs w:val="20"/>
          <w:color w:val="auto"/>
        </w:rPr>
      </w:pPr>
    </w:p>
    <w:p>
      <w:pPr>
        <w:sectPr>
          <w:pgSz w:w="11900" w:h="16838" w:orient="portrait"/>
          <w:cols w:equalWidth="0" w:num="2">
            <w:col w:w="8200" w:space="720"/>
            <w:col w:w="25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80" w:type="dxa"/>
            <w:vAlign w:val="bottom"/>
            <w:tcBorders>
              <w:top w:val="single" w:sz="8" w:color="auto"/>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58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6"/>
              </w:rPr>
              <w:t>Write-off of losses in AOCL for a discontinued hedge relationship</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(6,393)</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w:t>
            </w:r>
          </w:p>
        </w:tc>
      </w:tr>
      <w:tr>
        <w:trPr>
          <w:trHeight w:val="27"/>
        </w:trPr>
        <w:tc>
          <w:tcPr>
            <w:tcW w:w="516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(6,114)</w:t>
            </w:r>
          </w:p>
        </w:tc>
        <w:tc>
          <w:tcPr>
            <w:tcW w:w="120" w:type="dxa"/>
            <w:vAlign w:val="bottom"/>
            <w:tcBorders>
              <w:bottom w:val="single" w:sz="8" w:color="EAF9E8"/>
            </w:tcBorders>
            <w:shd w:val="clear" w:color="auto" w:fill="EAF9E8"/>
          </w:tcPr>
          <w:p>
            <w:pPr>
              <w:spacing w:after="0"/>
              <w:rPr>
                <w:sz w:val="22"/>
                <w:szCs w:val="22"/>
                <w:color w:val="auto"/>
              </w:rPr>
            </w:pPr>
          </w:p>
        </w:tc>
        <w:tc>
          <w:tcPr>
            <w:tcW w:w="58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(7,268)</w:t>
            </w:r>
          </w:p>
        </w:tc>
        <w:tc>
          <w:tcPr>
            <w:tcW w:w="58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(1,539)</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three and six months ended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74,066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93,456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147,891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25,710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41,568</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15,674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29,955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6.625% 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5,836</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124,897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244,293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276,080</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interest expense related to financing liabilities recorded in connection with the NRZ/HLSS Transactions as indicated in the table below.</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NRZ</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175,108</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185,797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355,405</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375,021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89,991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90,851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181,675</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NRZ</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85,117</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94,946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174,200</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193,346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4,224</w:t>
            </w:r>
          </w:p>
        </w:tc>
      </w:tr>
      <w:tr>
        <w:trPr>
          <w:trHeight w:val="27"/>
        </w:trPr>
        <w:tc>
          <w:tcPr>
            <w:tcW w:w="46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NRZ financing liability</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71,841</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90,126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143,201</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189,122</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1480" w:hanging="5612"/>
        <w:spacing w:after="0" w:line="559" w:lineRule="auto"/>
        <w:tabs>
          <w:tab w:leader="none" w:pos="4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 38</w:t>
      </w:r>
    </w:p>
    <w:p>
      <w:pPr>
        <w:sectPr>
          <w:pgSz w:w="11900" w:h="16838" w:orient="portrait"/>
          <w:cols w:equalWidth="0" w:num="1">
            <w:col w:w="11420"/>
          </w:cols>
          <w:pgMar w:left="240" w:top="692"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15 – Basic and Diluted Earnings per Share</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earnings per share to diluted earnings per share for the three and six months ended June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72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3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140" w:type="dxa"/>
            <w:vAlign w:val="bottom"/>
            <w:tcBorders>
              <w:top w:val="single" w:sz="8" w:color="EAF9E8"/>
            </w:tcBorders>
            <w:shd w:val="clear" w:color="auto" w:fill="EAF9E8"/>
          </w:tcPr>
          <w:p>
            <w:pPr>
              <w:spacing w:after="0"/>
              <w:rPr>
                <w:sz w:val="4"/>
                <w:szCs w:val="4"/>
                <w:color w:val="auto"/>
              </w:rPr>
            </w:pPr>
          </w:p>
        </w:tc>
        <w:tc>
          <w:tcPr>
            <w:tcW w:w="318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440" w:type="dxa"/>
            <w:vAlign w:val="bottom"/>
            <w:tcBorders>
              <w:top w:val="single" w:sz="8" w:color="EAF9E8"/>
            </w:tcBorders>
            <w:shd w:val="clear" w:color="auto" w:fill="EAF9E8"/>
          </w:tcPr>
          <w:p>
            <w:pPr>
              <w:spacing w:after="0"/>
              <w:rPr>
                <w:sz w:val="4"/>
                <w:szCs w:val="4"/>
                <w:color w:val="auto"/>
              </w:rPr>
            </w:pPr>
          </w:p>
        </w:tc>
        <w:tc>
          <w:tcPr>
            <w:tcW w:w="1040" w:type="dxa"/>
            <w:vAlign w:val="bottom"/>
            <w:tcBorders>
              <w:top w:val="single" w:sz="8" w:color="EAF9E8"/>
            </w:tcBorders>
            <w:shd w:val="clear" w:color="auto" w:fill="EAF9E8"/>
          </w:tcPr>
          <w:p>
            <w:pPr>
              <w:spacing w:after="0"/>
              <w:rPr>
                <w:sz w:val="4"/>
                <w:szCs w:val="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44,093</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125,462</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125,311,133</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134,221,668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125,291,788</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134,724,905</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Net income attributable to Ocwen common stockholders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44,093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125,462</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3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Adjusted net income attributable to Ocwen</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44,093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125,462</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125,311,133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134,221,668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125,291,788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1"/>
              </w:rPr>
              <w:t>134,724,905</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Effect of dilutive elements: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(1)</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1,830,496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3,479,499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1,777,888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3,693,916</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10,850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4,191</w:t>
            </w:r>
          </w:p>
        </w:tc>
      </w:tr>
      <w:tr>
        <w:trPr>
          <w:trHeight w:val="297"/>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127,152,479</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137,705,793</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127,076,178</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138,423,012</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18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29"/>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options and common stock awards excluded from the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120" w:type="dxa"/>
            <w:vAlign w:val="bottom"/>
            <w:gridSpan w:val="3"/>
          </w:tcPr>
          <w:p>
            <w:pPr>
              <w:ind w:left="160"/>
              <w:spacing w:after="0"/>
              <w:rPr>
                <w:sz w:val="20"/>
                <w:szCs w:val="20"/>
                <w:color w:val="auto"/>
              </w:rPr>
            </w:pPr>
            <w:r>
              <w:rPr>
                <w:rFonts w:ascii="Arial" w:cs="Arial" w:eastAsia="Arial" w:hAnsi="Arial"/>
                <w:sz w:val="18"/>
                <w:szCs w:val="18"/>
                <w:color w:val="auto"/>
              </w:rPr>
              <w:t>computation of diluted earnings per share: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(2)</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1,846,374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1,928,638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25,000</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Market-based (3)</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924,438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272,500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924,438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272,500</w:t>
            </w:r>
          </w:p>
        </w:tc>
      </w:tr>
    </w:tbl>
    <w:p>
      <w:pPr>
        <w:spacing w:after="0" w:line="337" w:lineRule="exact"/>
        <w:rPr>
          <w:sz w:val="20"/>
          <w:szCs w:val="20"/>
          <w:color w:val="auto"/>
        </w:rPr>
      </w:pPr>
    </w:p>
    <w:p>
      <w:pPr>
        <w:ind w:left="500" w:hanging="492"/>
        <w:spacing w:after="0" w:line="25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conversion of our remaining preferred stock into common stock in July 2014, we computed the effect on diluted earnings per share using the if-converted method. For purposes of computing diluted earnings per share, we assume the conversion of the preferred stock into shares of common stock unless the effect is anti-dilutive. Conversion of the preferred stock was not assumed for the three and six months ended June 30, 2014 because the effect would have been antidilutive.</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servicing business. We provide residential and commercial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w:t>
      </w:r>
    </w:p>
    <w:p>
      <w:pPr>
        <w:sectPr>
          <w:pgSz w:w="11900" w:h="16838" w:orient="portrait"/>
          <w:cols w:equalWidth="0" w:num="1">
            <w:col w:w="11420"/>
          </w:cols>
          <w:pgMar w:left="240" w:top="79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96" w:right="239" w:bottom="1440" w:gutter="0" w:footer="0" w:header="0"/>
          <w:type w:val="continuous"/>
        </w:sectPr>
      </w:pPr>
    </w:p>
    <w:bookmarkStart w:id="41" w:name="page42"/>
    <w:bookmarkEnd w:id="41"/>
    <w:p>
      <w:pPr>
        <w:ind w:right="100"/>
        <w:spacing w:after="0" w:line="264" w:lineRule="auto"/>
        <w:rPr>
          <w:sz w:val="20"/>
          <w:szCs w:val="20"/>
          <w:color w:val="auto"/>
        </w:rPr>
      </w:pPr>
      <w:r>
        <w:rPr>
          <w:rFonts w:ascii="Arial" w:cs="Arial" w:eastAsia="Arial" w:hAnsi="Arial"/>
          <w:sz w:val="18"/>
          <w:szCs w:val="18"/>
          <w:color w:val="auto"/>
        </w:rPr>
        <w:t>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 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that are not directly related to other reportable segments,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that are individually insignificant, interest income on short-term investments of cash, interest expense on corporate debt and certain corporate expenses. Business activities not currently considered to be of continuing significance include residential subprime non-Agency loans held for sale (at lower of cost or fair value), investments in residential mortgage-backed securities, investments in unconsolidated entities and affordable housing investment activities.</w:t>
      </w:r>
    </w:p>
    <w:p>
      <w:pPr>
        <w:spacing w:after="0" w:line="8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Three months ended June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423,207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39,312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463,251</w:t>
            </w:r>
          </w:p>
        </w:tc>
      </w:tr>
      <w:tr>
        <w:trPr>
          <w:trHeight w:val="291"/>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284,413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26,586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352,252</w:t>
            </w:r>
          </w:p>
        </w:tc>
      </w:tr>
      <w:tr>
        <w:trPr>
          <w:trHeight w:val="291"/>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5,038</w:t>
            </w: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(116,101)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(124,897)</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21,360</w:t>
            </w:r>
          </w:p>
        </w:tc>
      </w:tr>
      <w:tr>
        <w:trPr>
          <w:trHeight w:val="27"/>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5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(94,215)</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r>
      <w:tr>
        <w:trPr>
          <w:trHeight w:val="183"/>
        </w:trPr>
        <w:tc>
          <w:tcPr>
            <w:tcW w:w="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64"/>
        </w:trPr>
        <w:tc>
          <w:tcPr>
            <w:tcW w:w="40" w:type="dxa"/>
            <w:vAlign w:val="bottom"/>
            <w:shd w:val="clear" w:color="auto" w:fill="EAF9E8"/>
          </w:tcPr>
          <w:p>
            <w:pPr>
              <w:spacing w:after="0"/>
              <w:rPr>
                <w:sz w:val="22"/>
                <w:szCs w:val="22"/>
                <w:color w:val="auto"/>
              </w:rPr>
            </w:pPr>
          </w:p>
        </w:tc>
        <w:tc>
          <w:tcPr>
            <w:tcW w:w="35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44,579</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14,445</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(46,524)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520" w:type="dxa"/>
            <w:vAlign w:val="bottom"/>
            <w:tcBorders>
              <w:top w:val="single" w:sz="8" w:color="EAF9E8"/>
            </w:tcBorders>
          </w:tcPr>
          <w:p>
            <w:pPr>
              <w:spacing w:after="0" w:line="20" w:lineRule="exact"/>
              <w:rPr>
                <w:sz w:val="1"/>
                <w:szCs w:val="1"/>
                <w:color w:val="auto"/>
              </w:rPr>
            </w:pPr>
          </w:p>
        </w:tc>
        <w:tc>
          <w:tcPr>
            <w:tcW w:w="98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35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Three months ended June 30, 2014</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 (1)</w:t>
            </w:r>
          </w:p>
        </w:tc>
        <w:tc>
          <w:tcPr>
            <w:tcW w:w="98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520,480</w:t>
            </w:r>
          </w:p>
        </w:tc>
        <w:tc>
          <w:tcPr>
            <w:tcW w:w="12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31,166</w:t>
            </w:r>
          </w:p>
        </w:tc>
        <w:tc>
          <w:tcPr>
            <w:tcW w:w="100" w:type="dxa"/>
            <w:vAlign w:val="bottom"/>
            <w:tcBorders>
              <w:top w:val="single" w:sz="8" w:color="EAF9E8"/>
            </w:tcBorders>
          </w:tcPr>
          <w:p>
            <w:pPr>
              <w:spacing w:after="0"/>
              <w:rPr>
                <w:sz w:val="21"/>
                <w:szCs w:val="21"/>
                <w:color w:val="auto"/>
              </w:rPr>
            </w:pPr>
          </w:p>
        </w:tc>
        <w:tc>
          <w:tcPr>
            <w:tcW w:w="2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553,074</w:t>
            </w:r>
          </w:p>
        </w:tc>
      </w:tr>
      <w:tr>
        <w:trPr>
          <w:trHeight w:val="27"/>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252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Expenses (1) (2)</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298,101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345,463</w:t>
            </w:r>
          </w:p>
        </w:tc>
      </w:tr>
      <w:tr>
        <w:trPr>
          <w:trHeight w:val="27"/>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EAF9E8"/>
          </w:tcPr>
          <w:p>
            <w:pPr>
              <w:spacing w:after="0"/>
              <w:rPr>
                <w:sz w:val="22"/>
                <w:szCs w:val="22"/>
                <w:color w:val="auto"/>
              </w:rPr>
            </w:pPr>
          </w:p>
        </w:tc>
        <w:tc>
          <w:tcPr>
            <w:tcW w:w="2520" w:type="dxa"/>
            <w:vAlign w:val="bottom"/>
            <w:shd w:val="clear" w:color="auto" w:fill="EAF9E8"/>
          </w:tcPr>
          <w:p>
            <w:pPr>
              <w:spacing w:after="0"/>
              <w:rPr>
                <w:sz w:val="22"/>
                <w:szCs w:val="22"/>
                <w:color w:val="auto"/>
              </w:rPr>
            </w:pPr>
          </w:p>
        </w:tc>
        <w:tc>
          <w:tcPr>
            <w:tcW w:w="98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5,552</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(130,630)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(136,207)</w:t>
            </w: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(130,434)</w:t>
            </w:r>
          </w:p>
        </w:tc>
      </w:tr>
      <w:tr>
        <w:trPr>
          <w:trHeight w:val="27"/>
        </w:trPr>
        <w:tc>
          <w:tcPr>
            <w:tcW w:w="40" w:type="dxa"/>
            <w:vAlign w:val="bottom"/>
            <w:tcBorders>
              <w:bottom w:val="single" w:sz="8" w:color="EAF9E8"/>
            </w:tcBorders>
          </w:tcPr>
          <w:p>
            <w:pPr>
              <w:spacing w:after="0"/>
              <w:rPr>
                <w:sz w:val="2"/>
                <w:szCs w:val="2"/>
                <w:color w:val="auto"/>
              </w:rPr>
            </w:pPr>
          </w:p>
        </w:tc>
        <w:tc>
          <w:tcPr>
            <w:tcW w:w="252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520" w:type="dxa"/>
            <w:vAlign w:val="bottom"/>
            <w:shd w:val="clear" w:color="auto" w:fill="EAF9E8"/>
          </w:tcPr>
          <w:p>
            <w:pPr>
              <w:spacing w:after="0"/>
              <w:rPr>
                <w:sz w:val="15"/>
                <w:szCs w:val="15"/>
                <w:color w:val="auto"/>
              </w:rPr>
            </w:pPr>
          </w:p>
        </w:tc>
        <w:tc>
          <w:tcPr>
            <w:tcW w:w="9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91,528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(21,404)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77,177</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520" w:type="dxa"/>
            <w:vAlign w:val="bottom"/>
            <w:tcBorders>
              <w:top w:val="single" w:sz="8" w:color="EAF9E8"/>
            </w:tcBorders>
            <w:shd w:val="clear" w:color="auto" w:fill="EAF9E8"/>
          </w:tcPr>
          <w:p>
            <w:pPr>
              <w:spacing w:after="0"/>
              <w:rPr>
                <w:sz w:val="14"/>
                <w:szCs w:val="14"/>
                <w:color w:val="auto"/>
              </w:rPr>
            </w:pPr>
          </w:p>
        </w:tc>
        <w:tc>
          <w:tcPr>
            <w:tcW w:w="98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459"/>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ind w:left="40"/>
              <w:spacing w:after="0"/>
              <w:rPr>
                <w:sz w:val="20"/>
                <w:szCs w:val="20"/>
                <w:color w:val="auto"/>
              </w:rPr>
            </w:pPr>
            <w:r>
              <w:rPr>
                <w:rFonts w:ascii="Arial" w:cs="Arial" w:eastAsia="Arial" w:hAnsi="Arial"/>
                <w:sz w:val="18"/>
                <w:szCs w:val="18"/>
                <w:color w:val="auto"/>
              </w:rPr>
              <w:t>Six months ended June 30, 2015</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4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894,332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77,059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973,695</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Expenses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622,325</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57,971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730,610</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(226,730)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(244,293)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43,966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45,924</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34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5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(180,707)</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(10,791)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(187,756)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EAF9E8"/>
          </w:tcPr>
          <w:p>
            <w:pPr>
              <w:spacing w:after="0"/>
              <w:rPr>
                <w:sz w:val="22"/>
                <w:szCs w:val="22"/>
                <w:color w:val="auto"/>
              </w:rPr>
            </w:pPr>
          </w:p>
        </w:tc>
        <w:tc>
          <w:tcPr>
            <w:tcW w:w="35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91,300</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30,429</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(66,400)</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55,329</w:t>
            </w:r>
          </w:p>
        </w:tc>
        <w:tc>
          <w:tcPr>
            <w:tcW w:w="0" w:type="dxa"/>
            <w:vAlign w:val="bottom"/>
          </w:tcPr>
          <w:p>
            <w:pPr>
              <w:spacing w:after="0"/>
              <w:rPr>
                <w:sz w:val="1"/>
                <w:szCs w:val="1"/>
                <w:color w:val="auto"/>
              </w:rPr>
            </w:pP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34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Six months ended June 30, 2014</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3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w:t>
            </w:r>
          </w:p>
        </w:tc>
        <w:tc>
          <w:tcPr>
            <w:tcW w:w="116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1,041,302</w:t>
            </w:r>
          </w:p>
        </w:tc>
        <w:tc>
          <w:tcPr>
            <w:tcW w:w="12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59,933</w:t>
            </w:r>
          </w:p>
        </w:tc>
        <w:tc>
          <w:tcPr>
            <w:tcW w:w="100" w:type="dxa"/>
            <w:vAlign w:val="bottom"/>
            <w:tcBorders>
              <w:top w:val="single" w:sz="8" w:color="EAF9E8"/>
            </w:tcBorders>
          </w:tcPr>
          <w:p>
            <w:pPr>
              <w:spacing w:after="0"/>
              <w:rPr>
                <w:sz w:val="21"/>
                <w:szCs w:val="21"/>
                <w:color w:val="auto"/>
              </w:rPr>
            </w:pPr>
          </w:p>
        </w:tc>
        <w:tc>
          <w:tcPr>
            <w:tcW w:w="2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3,180</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1,104,335</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34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EAF9E8"/>
          </w:tcPr>
          <w:p>
            <w:pPr>
              <w:spacing w:after="0"/>
              <w:rPr>
                <w:sz w:val="24"/>
                <w:szCs w:val="24"/>
                <w:color w:val="auto"/>
              </w:rPr>
            </w:pPr>
          </w:p>
        </w:tc>
        <w:tc>
          <w:tcPr>
            <w:tcW w:w="2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Expenses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606,033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694,657</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34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EAF9E8"/>
          </w:tcPr>
          <w:p>
            <w:pPr>
              <w:spacing w:after="0"/>
              <w:rPr>
                <w:sz w:val="24"/>
                <w:szCs w:val="24"/>
                <w:color w:val="auto"/>
              </w:rPr>
            </w:pPr>
          </w:p>
        </w:tc>
        <w:tc>
          <w:tcPr>
            <w:tcW w:w="2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color w:val="auto"/>
              </w:rPr>
              <w:t>Interest expense (2)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(276,080)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(267,118)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(260,798)</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234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2340" w:type="dxa"/>
            <w:vAlign w:val="bottom"/>
            <w:shd w:val="clear" w:color="auto" w:fill="EAF9E8"/>
          </w:tcPr>
          <w:p>
            <w:pPr>
              <w:spacing w:after="0"/>
              <w:rPr>
                <w:sz w:val="15"/>
                <w:szCs w:val="15"/>
                <w:color w:val="auto"/>
              </w:rPr>
            </w:pPr>
          </w:p>
        </w:tc>
        <w:tc>
          <w:tcPr>
            <w:tcW w:w="116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168,151</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7,632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(26,903)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148,880</w:t>
            </w:r>
          </w:p>
        </w:tc>
        <w:tc>
          <w:tcPr>
            <w:tcW w:w="0" w:type="dxa"/>
            <w:vAlign w:val="bottom"/>
          </w:tcPr>
          <w:p>
            <w:pPr>
              <w:spacing w:after="0"/>
              <w:rPr>
                <w:sz w:val="1"/>
                <w:szCs w:val="1"/>
                <w:color w:val="auto"/>
              </w:rPr>
            </w:pP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2340" w:type="dxa"/>
            <w:vAlign w:val="bottom"/>
            <w:tcBorders>
              <w:top w:val="single" w:sz="8" w:color="EAF9E8"/>
            </w:tcBorders>
            <w:shd w:val="clear" w:color="auto" w:fill="EAF9E8"/>
          </w:tcPr>
          <w:p>
            <w:pPr>
              <w:spacing w:after="0"/>
              <w:rPr>
                <w:sz w:val="24"/>
                <w:szCs w:val="24"/>
                <w:color w:val="auto"/>
              </w:rPr>
            </w:pPr>
          </w:p>
        </w:tc>
        <w:tc>
          <w:tcPr>
            <w:tcW w:w="116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June 30,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5,033,690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2,380,776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590,173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8,004,639</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December 31,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5,881,862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421,687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8,267,278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June 30,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6,260,835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1,565,389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538,678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8,364,902</w:t>
            </w:r>
          </w:p>
        </w:tc>
      </w:tr>
    </w:tbl>
    <w:p>
      <w:pPr>
        <w:spacing w:after="0" w:line="121" w:lineRule="exact"/>
        <w:rPr>
          <w:sz w:val="20"/>
          <w:szCs w:val="20"/>
          <w:color w:val="auto"/>
        </w:rPr>
      </w:pPr>
    </w:p>
    <w:p>
      <w:pPr>
        <w:ind w:left="500" w:right="8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3" w:name="page44"/>
    <w:bookmarkEnd w:id="43"/>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Corporate Items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6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June 30, 2015</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4,075</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31,499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31,586</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3,556</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three months ended June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62,794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63,198</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1,210</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six months ended June 30, 2015</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8,420</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69,903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70,080</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693</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7,311</w:t>
            </w:r>
          </w:p>
        </w:tc>
      </w:tr>
      <w:tr>
        <w:trPr>
          <w:trHeight w:val="297"/>
        </w:trPr>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6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six months ended June 30, 2014</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10,846</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124,574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125,292</w:t>
            </w:r>
          </w:p>
        </w:tc>
      </w:tr>
      <w:tr>
        <w:trPr>
          <w:trHeight w:val="243"/>
        </w:trPr>
        <w:tc>
          <w:tcPr>
            <w:tcW w:w="462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2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1"/>
                <w:szCs w:val="21"/>
                <w:color w:val="auto"/>
              </w:rPr>
            </w:pPr>
          </w:p>
        </w:tc>
        <w:tc>
          <w:tcPr>
            <w:tcW w:w="11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2,297</w:t>
            </w:r>
          </w:p>
        </w:tc>
      </w:tr>
      <w:tr>
        <w:trPr>
          <w:trHeight w:val="27"/>
        </w:trPr>
        <w:tc>
          <w:tcPr>
            <w:tcW w:w="46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Ocwen’s former Executive Chairman, William C. Erbey, also formerly served as chairman of the boards of Altisource Portfolio Solutions, S.A. (Altisource), HLSS, Altisource Residential Corporation (Residential) and Altisource Asset 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 Following his retirement, effective as of January 16, 2015, Mr. Erbey has no directorial, management, oversight, consulting or any other role at Ocwen, and we are expressly prohibited from providing any non-public information about Ocwen to Mr. Erbey pursuant to our settlement with the NY DFS. As a result of these and other relevant facts and circumstances, we believe that from and after January 17, 2015 Mr. Erbey does not possess the power, direct or indirect, to direct or cause the direction of our management and policies and, accordingly, we do not consider Altisource, HLSS, Residential or AAMC to be related parties. Revenues and expenses related to these agreements for the period from January 1 to January 16, 2015 are not significant and have not been disclosed. Absent a change in circumstances, we do not expect that we will consider any of these entities to be related parties in future periods.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4" w:name="page45"/>
    <w:bookmarkEnd w:id="44"/>
    <w:p>
      <w:pPr>
        <w:ind w:right="120" w:firstLine="324"/>
        <w:spacing w:after="0" w:line="302" w:lineRule="auto"/>
        <w:rPr>
          <w:sz w:val="20"/>
          <w:szCs w:val="20"/>
          <w:color w:val="auto"/>
        </w:rPr>
      </w:pPr>
      <w:r>
        <w:rPr>
          <w:rFonts w:ascii="Arial" w:cs="Arial" w:eastAsia="Arial" w:hAnsi="Arial"/>
          <w:sz w:val="16"/>
          <w:szCs w:val="16"/>
          <w:color w:val="auto"/>
        </w:rPr>
        <w:t>The following table summarizes revenues and expenses related to our agreements with Altisource, HLSS (prior to the sale of its assets to NRZ), AAMC and Residential (and, as applicable, their subsidiaries) for the 2014 periods presented and the amounts receivable or payable at December 31, 2014. See Note 19 — Commitments for additional discussion of our long-term agreements with Altisource and Residential. See Note 4 — Sales of Advances and MSRs, Note 5 – Loans Held for Sale, Note 8 – Mortgage Servicing and Note 11 – Borrowings for additional discussion of the HLSS and EBO transactions.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Three</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 the Six</w:t>
            </w:r>
          </w:p>
        </w:tc>
      </w:tr>
      <w:tr>
        <w:trPr>
          <w:trHeight w:val="216"/>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Months Ended</w:t>
            </w:r>
          </w:p>
        </w:tc>
        <w:tc>
          <w:tcPr>
            <w:tcW w:w="14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Months Ended</w:t>
            </w:r>
          </w:p>
        </w:tc>
      </w:tr>
      <w:tr>
        <w:trPr>
          <w:trHeight w:val="234"/>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 2014</w:t>
            </w:r>
          </w:p>
        </w:tc>
        <w:tc>
          <w:tcPr>
            <w:tcW w:w="14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June 30, 2014</w:t>
            </w:r>
          </w:p>
        </w:tc>
      </w:tr>
      <w:tr>
        <w:trPr>
          <w:trHeight w:val="27"/>
        </w:trPr>
        <w:tc>
          <w:tcPr>
            <w:tcW w:w="83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Altisource agreements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10,792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19,291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42,031</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 support services agreement</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AAMC support services and facilities agreements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Residential servicing agreement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3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5,342</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7,490</w:t>
            </w:r>
          </w:p>
        </w:tc>
      </w:tr>
      <w:tr>
        <w:trPr>
          <w:trHeight w:val="27"/>
        </w:trPr>
        <w:tc>
          <w:tcPr>
            <w:tcW w:w="83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99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Altisource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(4,909)</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HLSS</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7,884</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AAMC</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9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w:t>
            </w:r>
          </w:p>
        </w:tc>
      </w:tr>
      <w:tr>
        <w:trPr>
          <w:trHeight w:val="20"/>
        </w:trPr>
        <w:tc>
          <w:tcPr>
            <w:tcW w:w="994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Regulatory Requirements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CFPB, HUD, SEC and various state agencies that license, audit and conduct examinations of our mortgage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mortgage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or (vii) inability to execute on our business strategy.</w:t>
      </w:r>
    </w:p>
    <w:p>
      <w:pPr>
        <w:spacing w:after="0" w:line="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Equal Credit Opportunity Act, the Dodd-Frank Wall Street Reform and Consumer Protection Act and state foreclosure laws. These statutes apply to loan origination, default servicing and collections, use of credit reports, safeguarding of non-public personally identifiable information about our customers, foreclosure and claims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ind w:right="240"/>
        <w:spacing w:after="0" w:line="259" w:lineRule="auto"/>
        <w:rPr>
          <w:sz w:val="20"/>
          <w:szCs w:val="20"/>
          <w:color w:val="auto"/>
        </w:rPr>
      </w:pPr>
      <w:r>
        <w:rPr>
          <w:rFonts w:ascii="Arial" w:cs="Arial" w:eastAsia="Arial" w:hAnsi="Arial"/>
          <w:sz w:val="18"/>
          <w:szCs w:val="18"/>
          <w:color w:val="auto"/>
        </w:rPr>
        <w:t>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17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Our licensed entities are also subject to minimum net worth requirements in connection with these licenses. These minimum net worth requirements are unique to each state and type of license. Failure to meet these minimum capital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requirements is based on the outstanding UPB of our owned and subserviced portfolio and was $616.4 million at June 30, 2015. We believe our licensed subsidiaries are currently in compliance with all of their capital requirements.</w:t>
      </w:r>
    </w:p>
    <w:p>
      <w:pPr>
        <w:spacing w:after="0" w:line="7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June 30, 2015. Our non-Agency servicing agreements also contain requirements regarding servicing practices and other matters, and a failure to comply with these requirements could have an adverse impact on our business.</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19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jc w:val="both"/>
        <w:ind w:right="360" w:firstLine="324"/>
        <w:spacing w:after="0" w:line="31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$786.2 million at June 30, 2015. This additional borrowing capacity is available on a scheduled or unscheduled payment basis. We also had short-term commitments to lend $334.4 million and $15.6 million in connection with our forward and reverse interest rate lock commitments outstanding at June 30,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6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 Amounts incurred or received in connection with the above agreements for periods prior to January 1, 2015 are disclosed in Note 17 – Related Party Transactions.</w:t>
      </w:r>
    </w:p>
    <w:p>
      <w:pPr>
        <w:spacing w:after="0" w:line="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7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Beginning April 1, 2015, the only services that are regularly provided under these Support Services Agreements are corporate services such as facilities management and mailroom support services and vendor procurement for information technology and facilities.</w:t>
      </w:r>
    </w:p>
    <w:p>
      <w:pPr>
        <w:spacing w:after="0" w:line="6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advisors, such advisors assist us in making such assessments.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the ordinary course of business, we are routinely a defendant in, or a party or potential party to, many threatened and pending legal proceedings, including proceedings brought on behalf of various classes of claimants and those brought derivatively on behalf of Ocwen against certain current or former officers and directors.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and claims related to our payment and other processing operations. In some of these proceedings, claims for substantial monetary damages are asserted against us. To address the claims in the small number of proceedings brought derivatively by purported shareholders, the independent directors of the Board have established a Special Litigation Committee to investigate the shareholders’ allegations. In our opinion, the resolution of the vast majority of these proceedings will not have a material effect on our financial condition, results of operations or cash flows.</w:t>
      </w:r>
    </w:p>
    <w:p>
      <w:pPr>
        <w:spacing w:after="0" w:line="8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$16.7 million as of June 30, 2015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June 30, 2015.</w:t>
      </w:r>
    </w:p>
    <w:p>
      <w:pPr>
        <w:spacing w:after="0" w:line="5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have been filed against Ocwen and certain of its officers and directors regarding such restatements and amendments. Those lawsuits have been consolidated and are pending in federal court in Florida. After Ocwen signed a Consent Order with the NYDFS on December 22, 2014, the consolidated class action complaint was amended to include allegations relating to that Consent Order and other matters. In January 2015, Ocwen was named as a defendant in a separate consolidated securities fraud class action that has been brought on behalf of a putative class of Altisource shareholders. Ocwen and the other defendants intend to vigorously defend against these lawsuits. Additional lawsuits may be filed and, at this time, Ocwen is unable to predict the outcome of these lawsuits, the possible loss or range of loss, if any, associated with the resolution of these lawsuits or any potential impact they may have on us or our operations. If our efforts to defend these lawsuits are not successful, our business, financial condition and results of operations could be adversely affected.</w:t>
      </w:r>
    </w:p>
    <w:p>
      <w:pPr>
        <w:spacing w:after="0" w:line="6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very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Ocwen is a third-party defendant in one of these actions, is the servicer for certain securitizations involved in other such actions and is the servicer for other securitizations as to which actions have been threatened by certificate holders. We intend to vigorously defend ourselves in the lawsuit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88" w:right="239" w:bottom="1440" w:gutter="0" w:footer="0" w:header="0"/>
        </w:sectPr>
      </w:pPr>
    </w:p>
    <w:bookmarkStart w:id="48" w:name="page49"/>
    <w:bookmarkEnd w:id="48"/>
    <w:p>
      <w:pPr>
        <w:ind w:right="440"/>
        <w:spacing w:after="0" w:line="277" w:lineRule="auto"/>
        <w:rPr>
          <w:sz w:val="20"/>
          <w:szCs w:val="20"/>
          <w:color w:val="auto"/>
        </w:rPr>
      </w:pPr>
      <w:r>
        <w:rPr>
          <w:rFonts w:ascii="Arial" w:cs="Arial" w:eastAsia="Arial" w:hAnsi="Arial"/>
          <w:sz w:val="18"/>
          <w:szCs w:val="18"/>
          <w:color w:val="auto"/>
        </w:rPr>
        <w:t>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a number of ongoing federal and state regulatory examinations, inquiries, requests for information and other 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December 19, 2014, Ocwen reached a settlement with the NY DFS related to these matters and entered into a consent order (the NY Consent Order) with the NY DFS to reflect such settlement. The settlement included monetary and non-monetary provisions including the payment of a civil monetary penalty of $100.0 million and restitution in the amount of $50.0 million to certain New York borrowers. Non-monetary provisions include: the appointment of an independent Operations Monitor who will among other responsibilities, review and assess the adequacy and effectiveness of our operations, including providing periodic reporting on findings and progress, and review transactions with Altisource, HLSS, AAMC and Residential; the appointment of two additional independent directors to the Board of Directors; the resignation of William C. Erbey as an officer and director, as of January 16, 2015, as well as from the boards of Altisource, HLSS, AAMC and Residential; and restrictions on the ability and/or timing of any future MSR acquisitions which effectively prohibit any such future acquisitions until we have satisfied certain specified conditions.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February 2014, the Ocwen National Mortgage Settlement involving the CFPB and various state attorneys general and other state agencies that regulate the mortgage servicing industry (NMS Regulators) was memorialized by a consent order entered by the United States District Court for the District of Columbia.</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It is also possible that if we are found to have caused borrower harm, we would be subject to costs to remediate that harm. In addition, in the event that there were widespread metric failures, it is possible that OMSO and/or the District Court could determine that we were generally violating the settlement and seek to impose a broader range of financial or injunctive penalties on us.</w:t>
      </w:r>
    </w:p>
    <w:p>
      <w:pPr>
        <w:spacing w:after="0" w:line="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December 2014, OMSO identified two issues involving Ocwen’s compliance with the Ocwen National Mortgage Settlement. The first concerned the adequacy and independence of our IRG, which is responsible for reporting on Ocwen’s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color w:val="auto"/>
        </w:rPr>
        <w:t>compliance with the settlement. The second issue concerned the letter dating issues raised by the NY DFS. OMSO’s report identified the steps that Ocwen had taken to remediate these issues, and acknowledged Ocwen’s cooperation.</w:t>
      </w:r>
    </w:p>
    <w:p>
      <w:pPr>
        <w:spacing w:after="0" w:line="6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 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Ocwen has not objected to the determination on that one metric and will develop a corrective action plan for that potential violation.</w:t>
      </w:r>
    </w:p>
    <w:p>
      <w:pPr>
        <w:spacing w:after="0" w:line="8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continue to work cooperatively with OMSO on resolving these issues, and the letter dating issues are currently under a CAP. While, to date, these issues have not resulted in financial penalties, if we do not comply with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On February 10, 2015, we received a letter from the Staff informing us that it was conducting an investigation relating to mortgage loan servicer use of collection agents, and it made a request for the voluntary production of documents and information. We believe that the February 10, 2015 letter was also sent to other companies in the industry. We are cooperating with the Staff on these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January 23,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3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the CA DBO has selected an independent third-party auditor (the CA Auditor) to assess OLS’ compliance with laws and regulations impacting California borrowers for an initial term of two years, extendable at the discretion of the CA DBO. OLS will pay all reasonable and necessary costs of the CA Auditor. The CA Auditor will report periodically on its findings and progress and OLS will submit to the CA DBO a written plan to address and implement corrective measures and address any deficiencies identified by the CA Auditor.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In addition to the above matters, our mortgage origination and servicing businesses require one or more licenses in the various jurisdictions where properties secured by mortgages are located. Our licensed entities are required to renew their licenses, typically on an annual basis, and to do so they must satisfy the license renewal requirements of each jurisdiction, which in some cases include the requirement to provide audited financial statements. The same agencies that issue licenses to us engage in regular supervisory examinations of the licensable activities. As of July 23, 2015, we were aware of 27 pending examinations in 21 states. In addition, we are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200" w:firstLine="324"/>
        <w:spacing w:after="0" w:line="286"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57"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To the extent that an examination or other regulatory engagement reveals a failure by us to comply with applicable law, regulation or licensing requirement,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w:t>
      </w:r>
    </w:p>
    <w:p>
      <w:pPr>
        <w:spacing w:after="0" w:line="2" w:lineRule="exact"/>
        <w:rPr>
          <w:sz w:val="20"/>
          <w:szCs w:val="20"/>
          <w:color w:val="auto"/>
        </w:rPr>
      </w:pPr>
    </w:p>
    <w:p>
      <w:pPr>
        <w:ind w:right="500" w:firstLine="8"/>
        <w:spacing w:after="0" w:line="290" w:lineRule="auto"/>
        <w:tabs>
          <w:tab w:leader="none" w:pos="3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our acquisitions to the extent we assume one or more of these obligations and in connection with our servicing practices. At June 30, 2015, we had outstanding representation and warranty repurchase demands of $120.3 million UPB (607 loans). At June 30, 2014, the outstanding UPB of representation and warranty repurchase demands was $124.9 million (668 loans). We review each demand and monitor through resolution, primarily through rescission, loan repurchase or make-whole payment.</w:t>
      </w:r>
    </w:p>
    <w:p>
      <w:pPr>
        <w:spacing w:after="0" w:line="8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related indemnification obligations for the six months ended June 30: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(48,837)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87,063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151,680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2015</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July 14, 2015, we received a Notice of Proposed Adjustment in connection with the Internal Revenue Service’s examination of our 2007-2010 U.S. federal income tax returns. In 2009, we completed the distribution of our Ocwen Solutions line of business via a taxable spin-off of a separate publicly traded company, Altisource Portfolio Solutions S.A. The proposed adjustment relates to the valuation of the spun-off company and proposes additional income taxes and penalties totaling $37.0 million. We remain confident in our original filing position on this issue (on which we received both advice from outside tax counsel and an independent, third party valuation) and we are in the process of evaluating the proposed adjustment and exploring our options, including contesting the adjustment through the Internal Revenue Service’s various appeals processes. At this time, we cannot predict what the eventual outcome of this matter will be or the timing of such outcome. We estimate the range of possible loss to be between zero and $37.0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left="980" w:right="2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You should not place undue reliance on any forward-looking statement, and you should consider all uncertainties and risks discussed or referenced in this report, including those under “Forward-Looking Statements” and Item 1A, Risk Factors, as well as those discussed under Part I to our Annual Report on Form 10-K for the year ended December 31, 2014 or in any subsequent SEC filings.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Ocwen is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borrowers whose loans we have modified. Ocwen completed over 607,000 loan modifications between January 2008 and June 30, 2015. We are also an innovator in the industry, as evidenced by our Shared Appreciation Modification (SAM) program, which incorporates principal reductions and lower payments for borrowers while providing a net present value for mortgage loan investors that is superior to that of foreclosure, including the ability to recoup principal reductions if property values increase over time. This program was developed in 2012, and was expanded in 2013 to all states where the program is permitted. Through June 30, 2015, we have completed nearly 52,000 modifications under the SAM program.</w:t>
      </w:r>
    </w:p>
    <w:p>
      <w:pPr>
        <w:spacing w:after="0" w:line="5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has been a leader in HAMP modifications since its inception in 2009. Ocwen completed 21% of all HAMP-sponsored modifications, 49% more than the next highest servicer, according to data published by Making Homes Affordable in June 2015. Ocwen achieved 3-star ratings, the highest score, on all seven compliance categories in the same report.</w:t>
      </w:r>
    </w:p>
    <w:p>
      <w:pPr>
        <w:spacing w:after="0" w:line="181" w:lineRule="exact"/>
        <w:rPr>
          <w:sz w:val="20"/>
          <w:szCs w:val="20"/>
          <w:color w:val="auto"/>
        </w:rPr>
      </w:pPr>
    </w:p>
    <w:p>
      <w:pPr>
        <w:jc w:val="both"/>
        <w:ind w:right="100" w:firstLine="324"/>
        <w:spacing w:after="0" w:line="276" w:lineRule="auto"/>
        <w:rPr>
          <w:sz w:val="20"/>
          <w:szCs w:val="20"/>
          <w:color w:val="auto"/>
        </w:rPr>
      </w:pPr>
      <w:r>
        <w:rPr>
          <w:rFonts w:ascii="Arial" w:cs="Arial" w:eastAsia="Arial" w:hAnsi="Arial"/>
          <w:sz w:val="17"/>
          <w:szCs w:val="17"/>
          <w:color w:val="auto"/>
        </w:rPr>
        <w:t>As discussed in further detail under “Operations Summary” and “Segment Results of Operations” below, the key drivers of our operating results for the three and six months ended June 30, 2015, as compared to the three and six months ended June 30, 2014, were (1) a decrease in revenue primarily resulting from a decline in the total UPB of the residential servicing portfolio from $435.1 billion as of June 30, 2014 to $321.7 billion as of June 30, 2015, primarily due to asset sales, runoff and transfers, and (2) a slight increase in expenses, which reflects a significant increase in professional services expenses related to litigation, regulatory monitoring and compliance costs and external advisor costs.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recent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MSRs upon (a) meeting benchmarks specified by Goldin Associates, our Operations Monitor, relating to our boarding 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OLS can satisfactorily respond to the requests for information and documentation made in the course of a regulatory exam. If we are unable to satisfy the NY DFS and CA DBO conditions, we will be unable to grow our servicing portfolio through acquisitions.</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Sales</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are actively executing on our strategy to sell certain of our Agency MSRs with the intent of reducing our exposure to interest rate movements, monetizing significant unrealized value and generating significant liquidity. In addition to proceeds received or paid in connection with the Agency MSR sales, we are reimbursed for servicing advances in connection with non-performing loans upon transfer and will no longer be obligated to make servicing advances in connection with these MSRs upon completion of the sale. We expect that reducing the size of our Agency servicing portfolio will help simplify our operations and help improve our margins over time. We have completed or announced sales of $65.6 billion and $25.0 billion UPB, respectively, as of June 30, 2015. Sales that have been announced but not yet closed remain subject, in each case, to</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580"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necessary approvals and the satisfaction of closing conditions, and all of our announced sales may not close as we currently envisage.</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anticipate using a majority of the cash proceeds from the MSR sales to reduce our corporate leverage by paying down our Senior Secured Term Loan (SSTL). In the first six months of 2015, we reduced the outstanding balance from $1.3 billion to $936.1 million primarily from the proceeds of asset sales.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Improvement Initiative</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we continue to execute on our strategy to sell certain of our Agency MSRs, and in light of the growth restrictions placed on us under our recent regulatory settlements, we expect that the UPB of our residential servicing portfolio and, consequently, our revenues will continue to decline in the near term. In order to more appropriately align expenses with our anticipated revenue profile, we have announced a cost improvement initiative with the goal of reducing costs by at least $150 million in the next year. The primary areas in which we expect to generate cost reductions are Servicing operations, professional services, technology costs and other expenses. We take very seriously our commitments to enhancing the borrower experience, strengthening our risk and compliance infrastructure and delivering strong loss mitigation results and will continue to invest in those important areas.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12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addition to our efforts to optimize our servicing business, we continue to invest in our mortgage lending businesses. Ocwen provides forward and reverse mortgages directly, through call-center-based operations, and indirectly, through brokers, correspondents and relationships with lending partners. We believe the reverse mortgage business is a substantially under-developed market relative to its potential, and that it provides a potential source of long-term growth for Ocwen. We are investing in our forward lending business to build competitive advantages around processes and technology, leveraging the analytical foundations of our servicing business and the differentiated technology platform of our reverse mortgage business.</w:t>
      </w:r>
    </w:p>
    <w:p>
      <w:pPr>
        <w:spacing w:after="0" w:line="5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Several factors suggest that the demand for alternative credit products to support homeownership is growing. We believe that a large percentage of American households would be unable to qualify for a new mortgage in the current environment. This compares to a pre-financial crisis estimate that 70% of households could obtain mortgage loan financing in either the prime or non-prime lending market. Expanding access to credit has been solidly supported by community groups with whom we are in close contact. We expect innovative Qualified Mortgage products (that meet the requirements of the CFPB) will be developed to access this underserved market in the future. In most cases, these products will require a flexible servicing platform that can manage the risks associated with non-prime or credit-impaired servicing, an area in which we believe we have strong competitive advantages. Through our Homeward and Liberty lending operations, we purchased or originated 5,815 and 2,191 forward and reverse mortgage loans with a UPB of $1.1 billion and $246.0 million, respectively, during the second quarter of 2015.</w:t>
      </w:r>
    </w:p>
    <w:p>
      <w:pPr>
        <w:spacing w:after="0" w:line="7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will continue to evaluate new adjacent market opportunities that are consistent with our strategic goals where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(i.e., advantage related to our operating efficiencies, our cost of capital or our tax structure). We prefer businesses that can be structured efficiently around repetitive processes where we can utilize our operational expertise and innovation to create best-in-class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April 6, 2015, we amended our Master Servicing Rights Purchase Agreement and Sale Supplements (the Amendment) with NRZ in consideration of OLS’ consent to the assignment by HLSS to NRZ of all HLSS’ right, title and interest in, to and under the agreements. The Amendment extends and, we believe, strengthens our relationship with NRZ. Most notably, the Amendment extends the term of the agreements by two years or until April 30, 2020, whichever is earlier, subject to maintaining or improving our servicer ratings and limits NRZ’s ability to transfer the servicing of any or all of the servicing agreements underlying the Rights to MSRs until April 6, 2017 even if further OLS servicer rating downgrades were to occur. We were also able to secure the future monetization of certain clean-up call rights we own. The Amendment provides that we will sell to NRZ, on an exclusive and “as is” basis, all economic beneficial rights to the clean-up call rights we are entitled to pursuant to servicing agreements that underlie Rights to MSRs owned by NRZ, for a payment upon exercise of 0.50% of the UPB of all performing mortgage loans (mortgage loans that are current or 30 days or less delinquent) associated with the applicable clean up-call.</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agreed to compensate NRZ for certain increased costs associated with its servicing advance financing facilities, including increased costs of funding, to the extent such costs are the direct result of a downgrade of our S&amp;P servicer rating below “Average”. The Amendment provides that any such compensation, if required, shall not exceed $3.0 million for any calendar month or $36.0 million in the aggregate. In such an event, NRZ has agreed to use commercially reasonable efforts to</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692" w:right="279" w:bottom="1440" w:gutter="0" w:footer="0" w:header="0"/>
        </w:sectPr>
      </w:pPr>
    </w:p>
    <w:bookmarkStart w:id="53" w:name="page54"/>
    <w:bookmarkEnd w:id="53"/>
    <w:p>
      <w:pPr>
        <w:ind w:right="100"/>
        <w:spacing w:after="0" w:line="277" w:lineRule="auto"/>
        <w:rPr>
          <w:sz w:val="20"/>
          <w:szCs w:val="20"/>
          <w:color w:val="auto"/>
        </w:rPr>
      </w:pPr>
      <w:r>
        <w:rPr>
          <w:rFonts w:ascii="Arial" w:cs="Arial" w:eastAsia="Arial" w:hAnsi="Arial"/>
          <w:sz w:val="18"/>
          <w:szCs w:val="18"/>
          <w:color w:val="auto"/>
        </w:rPr>
        <w:t>assist OLS in curing any potential cost increases by obtaining amendments to the relevant financing agreements. We accrued $0.3 million at June 30, 2015 in connection with this agreement in June 2015 and may incur costs in connection with this agreement in future periods.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six months ended June 30 and includes the results of acquired businesses from their acquisition dates.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Consolidated:</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396,983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491,673</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843,524</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982,132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38,836</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89,636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82,823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21,136</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22,565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40,535</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39,380</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4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463,251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553,074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973,695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1,104,335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2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04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tcBorders>
              <w:bottom w:val="single" w:sz="8" w:color="auto"/>
            </w:tcBorders>
            <w:shd w:val="clear" w:color="auto" w:fill="EAF9E8"/>
          </w:tcPr>
          <w:p>
            <w:pPr>
              <w:spacing w:after="0"/>
              <w:rPr>
                <w:sz w:val="24"/>
                <w:szCs w:val="24"/>
                <w:color w:val="auto"/>
              </w:rPr>
            </w:pPr>
          </w:p>
        </w:tc>
        <w:tc>
          <w:tcPr>
            <w:tcW w:w="102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06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40" w:type="dxa"/>
            <w:vAlign w:val="bottom"/>
            <w:tcBorders>
              <w:bottom w:val="single" w:sz="8" w:color="auto"/>
            </w:tcBorders>
            <w:shd w:val="clear" w:color="auto" w:fill="EAF9E8"/>
          </w:tcPr>
          <w:p>
            <w:pPr>
              <w:spacing w:after="0"/>
              <w:rPr>
                <w:sz w:val="24"/>
                <w:szCs w:val="24"/>
                <w:color w:val="auto"/>
              </w:rPr>
            </w:pPr>
          </w:p>
        </w:tc>
        <w:tc>
          <w:tcPr>
            <w:tcW w:w="92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352,252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345,463</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730,610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694,657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(124,897)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(136,207)</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(244,293)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(276,080)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w w:val="92"/>
              </w:rPr>
              <w:t>Gain on sale of mortgage servicing rights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56,712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5,773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15,282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342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(130,434)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(260,798)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77,177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148,880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10,165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11,034</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21,382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67,012</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127,498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non-</w:t>
            </w: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5"/>
        </w:trPr>
        <w:tc>
          <w:tcPr>
            <w:tcW w:w="342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income attributable to Ocwen</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66,955</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44,093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127,456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Preferred stock dividends</w:t>
            </w: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420" w:type="dxa"/>
            <w:vAlign w:val="bottom"/>
          </w:tcPr>
          <w:p>
            <w:pPr>
              <w:ind w:left="28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440"/>
              <w:spacing w:after="0"/>
              <w:rPr>
                <w:sz w:val="20"/>
                <w:szCs w:val="20"/>
                <w:color w:val="auto"/>
              </w:rPr>
            </w:pPr>
            <w:r>
              <w:rPr>
                <w:rFonts w:ascii="Arial" w:cs="Arial" w:eastAsia="Arial" w:hAnsi="Arial"/>
                <w:sz w:val="18"/>
                <w:szCs w:val="18"/>
                <w:color w:val="auto"/>
              </w:rPr>
              <w:t>conversion feature of preferred stock</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EAF9E8"/>
          </w:tcPr>
          <w:p>
            <w:pPr>
              <w:ind w:left="380"/>
              <w:spacing w:after="0" w:line="205" w:lineRule="exact"/>
              <w:rPr>
                <w:sz w:val="20"/>
                <w:szCs w:val="20"/>
                <w:color w:val="auto"/>
              </w:rPr>
            </w:pPr>
            <w:r>
              <w:rPr>
                <w:rFonts w:ascii="Arial" w:cs="Arial" w:eastAsia="Arial" w:hAnsi="Arial"/>
                <w:sz w:val="18"/>
                <w:szCs w:val="18"/>
                <w:b w:val="1"/>
                <w:bCs w:val="1"/>
                <w:color w:val="auto"/>
              </w:rPr>
              <w:t>Net income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EAF9E8"/>
          </w:tcPr>
          <w:p>
            <w:pPr>
              <w:spacing w:after="0"/>
              <w:rPr>
                <w:sz w:val="17"/>
                <w:szCs w:val="17"/>
                <w:color w:val="auto"/>
              </w:rPr>
            </w:pP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65,958</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44,093</w:t>
            </w:r>
          </w:p>
        </w:tc>
        <w:tc>
          <w:tcPr>
            <w:tcW w:w="100" w:type="dxa"/>
            <w:vAlign w:val="bottom"/>
            <w:shd w:val="clear" w:color="auto" w:fill="EAF9E8"/>
          </w:tcPr>
          <w:p>
            <w:pPr>
              <w:spacing w:after="0"/>
              <w:rPr>
                <w:sz w:val="17"/>
                <w:szCs w:val="17"/>
                <w:color w:val="auto"/>
              </w:rPr>
            </w:pPr>
          </w:p>
        </w:tc>
        <w:tc>
          <w:tcPr>
            <w:tcW w:w="440" w:type="dxa"/>
            <w:vAlign w:val="bottom"/>
            <w:vMerge w:val="restart"/>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125,462</w:t>
            </w: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4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auto"/>
            </w:tcBorders>
            <w:vMerge w:val="continue"/>
            <w:shd w:val="clear" w:color="auto" w:fill="EAF9E8"/>
          </w:tcPr>
          <w:p>
            <w:pPr>
              <w:spacing w:after="0"/>
              <w:rPr>
                <w:sz w:val="20"/>
                <w:szCs w:val="20"/>
                <w:color w:val="auto"/>
              </w:rPr>
            </w:pPr>
          </w:p>
        </w:tc>
        <w:tc>
          <w:tcPr>
            <w:tcW w:w="1020" w:type="dxa"/>
            <w:vAlign w:val="bottom"/>
            <w:tcBorders>
              <w:bottom w:val="single" w:sz="8" w:color="auto"/>
            </w:tcBorders>
            <w:vMerge w:val="continue"/>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06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auto"/>
            </w:tcBorders>
            <w:vMerge w:val="continue"/>
            <w:shd w:val="clear" w:color="auto" w:fill="EAF9E8"/>
          </w:tcPr>
          <w:p>
            <w:pPr>
              <w:spacing w:after="0"/>
              <w:rPr>
                <w:sz w:val="20"/>
                <w:szCs w:val="20"/>
                <w:color w:val="auto"/>
              </w:rPr>
            </w:pPr>
          </w:p>
        </w:tc>
        <w:tc>
          <w:tcPr>
            <w:tcW w:w="92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87"/>
              </w:rPr>
              <w:t>Segment 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44,579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91,528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91,300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168,151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Lending</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14,445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7,053</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30,429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7,632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Corporate Items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(21,404)</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(26,903)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77,177</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55,329</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148,880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92"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Three Months Ended June 30, 2015 versus 2014</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Consistent with our progress executing on our strategy to sell certain of our Agency MSRs, servicing and subservicing fees for the second quarter of 2015 were 19% lower than the second quarter of 2014. While we may continue to serve as interim servicer between transaction settlement dates and servicing transfer dates, we are no longer entitled to service fees or ancillary income during the interim servicing period. We monetized significant unrealized value during the quarter, recognizing $30.3 million in net gains on the sale of MSRs with a UPB of $56.5 billion in the second quarter of 2015. Ultimately, we expect that reducing the size of our Agency servicing portfolio will help simplify our operations and help improve our margins, however, right sizing our servicing operations will lag the reductions in the serviced portfolio, and related revenue, as we support the post-sale transfers and true-ups. We have completed or announced sales of $65.6 billion and $25.0 billion UPB, respectively, as of June 30, 2015, which will result in declining servicing and subservicing fees in future periods.</w:t>
      </w:r>
    </w:p>
    <w:p>
      <w:pPr>
        <w:spacing w:after="0" w:line="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Gain on loans held for sale from our lending operations increased $7.8 million primarily due to a shift in forward lending origination mix from the lower margin correspondent channel to the higher margin direct channel and an increase in reverse lending origination volume.</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Expenses increased $6.8 million or 2% during the second quarter of 2015 as compared to the second quarter of 2014. The increased costs relate primarily to higher litigation, regulatory monitoring and compliance costs. In addition, we engaged financial and legal advisers in 2015 to assist us in evaluating and executing on adjustments to our capital structure and exploring other strategic options. We incurred $15.8 million of fees in the second quarter of 2015 in connection with these initiatives. Higher professional services costs were offset by lower MSR valuation adjustments due to impacts of MSR sales and an increase in mortgage rates during the second quarter of 2015.</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Interest expense for the second quarter of 2015 decreased as compared to the second quarter of 2014 primarily as a result of reductions in the value of the NRZ financing liability based on the run-off of the underlying MSR servicing portfolio. This decrease was offset in part by increased amortization of deferred debt issuance costs resulting both from $18.8 million of additional deferred debt issuance costs incurred in 2015 as a result of our modifying the SSTL and from accelerated amortization associated with prepayments of the SSTL from proceeds of MSR sales during the 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2014</w:t>
      </w:r>
    </w:p>
    <w:p>
      <w:pPr>
        <w:spacing w:after="0" w:line="11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Servicing and subservicing fees were 14% lower primarily as a result of MSR sales and a decline in modifications. We monetized significant unrealized value, recognizing $56.7 million in net gains on the sale of MSRs with a UPB of $65.6 billion in the six months ended June 30, 2015.</w:t>
      </w:r>
    </w:p>
    <w:p>
      <w:pPr>
        <w:spacing w:after="0" w:line="3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Expenses increased $36.0 million, or 5%. The increased costs relate primarily to higher litigation, regulatory monitoring and compliance costs. Professional services increased $77.3 million, including $24.2 million in connection with advisers assisting with strategic initiatives. Higher professional services costs were offset by lower MSR valuation adjustments due to impacts of MSR sales.</w:t>
      </w:r>
    </w:p>
    <w:p>
      <w:pPr>
        <w:spacing w:after="0" w:line="7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Interest expense decreased as compared to the six months ended June 30, 2014 primarily as a result of reductions in the value of the NRZ financing liability based on the run-off of the underlying MSR servicing portfolio. This decrease was offset by the increased amortization of deferred debt issuance costs as a result both of additional deferred costs incurred because of modifications to the SSTL and of accelerated amortization because of prepayments of the SSTL from proceeds of MSR sales.</w:t>
      </w:r>
    </w:p>
    <w:p>
      <w:pPr>
        <w:spacing w:after="0" w:line="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effective tax rate for the six months ended June 30, 2015 increased to 19.9% as compared to 14.4% for the six months ended June 30, 2014. As disclosed in Note 1B - Basis of Presentation</w:t>
      </w:r>
      <w:r>
        <w:rPr>
          <w:rFonts w:ascii="Arial" w:cs="Arial" w:eastAsia="Arial" w:hAnsi="Arial"/>
          <w:sz w:val="18"/>
          <w:szCs w:val="18"/>
          <w:color w:val="221E1F"/>
        </w:rPr>
        <w:t>, for the second quarter ended June 30, 2015, we calculated our effective rate for the six months ended June 30,</w:t>
      </w:r>
      <w:r>
        <w:rPr>
          <w:rFonts w:ascii="Arial" w:cs="Arial" w:eastAsia="Arial" w:hAnsi="Arial"/>
          <w:sz w:val="18"/>
          <w:szCs w:val="18"/>
          <w:color w:val="auto"/>
        </w:rPr>
        <w:t xml:space="preserve"> </w:t>
      </w:r>
      <w:r>
        <w:rPr>
          <w:rFonts w:ascii="Arial" w:cs="Arial" w:eastAsia="Arial" w:hAnsi="Arial"/>
          <w:sz w:val="18"/>
          <w:szCs w:val="18"/>
          <w:color w:val="221E1F"/>
        </w:rPr>
        <w:t xml:space="preserve">2015 and applied that rate to the interim period results because we were unable to reasonably estimate our annual effective rate since small changes in estimated “ordinary” income would result in significant changes in the estimated annual effective tax rate. We determined the historical method would not provide a reliable estimate for the fiscal three and six months ended June 30, 2015. </w:t>
      </w:r>
      <w:r>
        <w:rPr>
          <w:rFonts w:ascii="Arial" w:cs="Arial" w:eastAsia="Arial" w:hAnsi="Arial"/>
          <w:sz w:val="18"/>
          <w:szCs w:val="18"/>
          <w:color w:val="000000"/>
        </w:rPr>
        <w:t>Ocwen avails itself of certain tax benefits in the USVI and other</w:t>
      </w:r>
      <w:r>
        <w:rPr>
          <w:rFonts w:ascii="Arial" w:cs="Arial" w:eastAsia="Arial" w:hAnsi="Arial"/>
          <w:sz w:val="18"/>
          <w:szCs w:val="18"/>
          <w:color w:val="221E1F"/>
        </w:rPr>
        <w:t xml:space="preserve"> </w:t>
      </w:r>
      <w:r>
        <w:rPr>
          <w:rFonts w:ascii="Arial" w:cs="Arial" w:eastAsia="Arial" w:hAnsi="Arial"/>
          <w:sz w:val="18"/>
          <w:szCs w:val="18"/>
          <w:color w:val="000000"/>
        </w:rPr>
        <w:t>international jurisdictions, which produce a favorable effect on our effective tax rate. To the extent that our pre-tax earnings are weighted more heavily in these lower tax rate jurisdictions, the effective tax rate decreases. If a greater proportion of our pre-tax earnings are earned in higher tax rate jurisdictions, the effective tax rate increases.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692"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7220" w:type="dxa"/>
            <w:vAlign w:val="bottom"/>
          </w:tcPr>
          <w:p>
            <w:pPr>
              <w:ind w:left="340"/>
              <w:spacing w:after="0"/>
              <w:rPr>
                <w:sz w:val="20"/>
                <w:szCs w:val="20"/>
                <w:color w:val="auto"/>
              </w:rPr>
            </w:pPr>
            <w:r>
              <w:rPr>
                <w:rFonts w:ascii="Arial" w:cs="Arial" w:eastAsia="Arial" w:hAnsi="Arial"/>
                <w:sz w:val="18"/>
                <w:szCs w:val="18"/>
                <w:color w:val="auto"/>
                <w:w w:val="98"/>
              </w:rPr>
              <w:t>The following table summarizes our consolidated balance sheets at the dates indicated.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0"/>
        </w:trPr>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320,080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129,473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 ($814,450 and $93,901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1,341,067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2,754,435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3,303,356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 ($276,581 and $401,120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352,398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2,097,192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($7,701 and $7,355 carried at fair value)</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1,139,467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881,704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29</w:t>
            </w:r>
          </w:p>
        </w:tc>
      </w:tr>
      <w:tr>
        <w:trPr>
          <w:trHeight w:val="297"/>
        </w:trPr>
        <w:tc>
          <w:tcPr>
            <w:tcW w:w="722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8,004,639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5,033,690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5,881,862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Lending</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2,380,776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1,963,729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590,173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421,687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40</w:t>
            </w:r>
          </w:p>
        </w:tc>
      </w:tr>
      <w:tr>
        <w:trPr>
          <w:trHeight w:val="297"/>
        </w:trPr>
        <w:tc>
          <w:tcPr>
            <w:tcW w:w="72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8,004,639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1,741,122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($2,569,217 and $2,058,693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2,743,670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21</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1,290,431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1,733,691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734,386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793,534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6,859,609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7,226,113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7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1,142,057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1,038,394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1,145,030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1,041,165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97"/>
        </w:trPr>
        <w:tc>
          <w:tcPr>
            <w:tcW w:w="72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8,004,639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4,324,735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4,986,877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Lending</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2,320,972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1,900,672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213,902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338,564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r>
      <w:tr>
        <w:trPr>
          <w:trHeight w:val="257"/>
        </w:trPr>
        <w:tc>
          <w:tcPr>
            <w:tcW w:w="7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6,859,609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7,226,113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Changes in the composition and balance of our assets and liabilities during the six months ended June 30, 2015 are primarily attributable to the execution of our strategy to sell certain of our Agency MSRs and related advances and repayments of the related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activities are organized into two reportable business segments - Servicing and Lending, as well as a Corporate Items and Other segment.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non-Agency residential mortgage-backed securities (RMBS) trusts and some of the largest financial institutions in the U.S., including Fannie Mae, Freddie Mac and Ginnie Mae.</w:t>
      </w:r>
    </w:p>
    <w:p>
      <w:pPr>
        <w:sectPr>
          <w:pgSz w:w="11900" w:h="16838" w:orient="portrait"/>
          <w:cols w:equalWidth="0" w:num="1">
            <w:col w:w="11420"/>
          </w:cols>
          <w:pgMar w:left="240" w:top="68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88" w:right="239" w:bottom="1440" w:gutter="0" w:footer="0" w:header="0"/>
          <w:type w:val="continuous"/>
        </w:sectPr>
      </w:pPr>
    </w:p>
    <w:bookmarkStart w:id="56" w:name="page57"/>
    <w:bookmarkEnd w:id="56"/>
    <w:p>
      <w:pPr>
        <w:ind w:right="20" w:firstLine="324"/>
        <w:spacing w:after="0" w:line="272" w:lineRule="auto"/>
        <w:rPr>
          <w:sz w:val="20"/>
          <w:szCs w:val="20"/>
          <w:color w:val="auto"/>
        </w:rPr>
      </w:pPr>
      <w:r>
        <w:rPr>
          <w:rFonts w:ascii="Arial" w:cs="Arial" w:eastAsia="Arial" w:hAnsi="Arial"/>
          <w:sz w:val="17"/>
          <w:szCs w:val="17"/>
          <w:color w:val="auto"/>
        </w:rPr>
        <w:t>Servicing primarily involves the collection and remittance of principal and interest payments received from borrowers, the administration of mortgage escrow accounts and the collection of insurance claims. Servicing also involves the management of loans that are delinquent, including those in foreclosure or bankruptcy,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 We also earn fees under both subservicing and special servicing arrangements with banks and other institutions that own the MSRs.</w:t>
      </w:r>
    </w:p>
    <w:p>
      <w:pPr>
        <w:spacing w:after="0" w:line="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recognize servicing fees as revenue when the fees are earned, which is generally when the borrower makes a payment or when a delinquent loan is resolved through modification, repayment plan, payoff or through the sale of the underlying mortgaged property following foreclosure. Therefore, our revenue recognition is generally a function of UPB, the number of payments received and delinquent loans that resolve. Servicing fee revenue from subservicing and special servicing arrangements may be earned on a per loan basis, which is typically dependent on delinquency status.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HUD, Freddie Mac, Fannie Mae and Ginnie Mae have approved OLS as a loan servicer. We are also the subject of mortgage servicer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9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Moody’s</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9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98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0"/>
              </w:rPr>
              <w:t>SQ3-</w:t>
            </w:r>
          </w:p>
        </w:tc>
        <w:tc>
          <w:tcPr>
            <w:tcW w:w="1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Below Average</w:t>
            </w:r>
          </w:p>
        </w:tc>
        <w:tc>
          <w:tcPr>
            <w:tcW w:w="17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0"/>
              </w:rPr>
              <w:t>SQ3-</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MOR RS3 (1)</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Below Average</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98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0"/>
              </w:rPr>
              <w:t>SQ3-</w:t>
            </w:r>
          </w:p>
        </w:tc>
        <w:tc>
          <w:tcPr>
            <w:tcW w:w="1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Below Average</w:t>
            </w:r>
          </w:p>
        </w:tc>
        <w:tc>
          <w:tcPr>
            <w:tcW w:w="17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RSS4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0"/>
              </w:rPr>
              <w:t>SQ3-</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Below Average</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98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98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7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RMS4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980" w:type="dxa"/>
            <w:vAlign w:val="bottom"/>
          </w:tcPr>
          <w:p>
            <w:pPr>
              <w:jc w:val="center"/>
              <w:ind w:left="190"/>
              <w:spacing w:after="0"/>
              <w:rPr>
                <w:sz w:val="20"/>
                <w:szCs w:val="20"/>
                <w:color w:val="auto"/>
              </w:rPr>
            </w:pPr>
            <w:r>
              <w:rPr>
                <w:rFonts w:ascii="Arial" w:cs="Arial" w:eastAsia="Arial" w:hAnsi="Arial"/>
                <w:sz w:val="18"/>
                <w:szCs w:val="18"/>
                <w:color w:val="auto"/>
                <w:w w:val="99"/>
              </w:rPr>
              <w:t>(2)</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Negative</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Positive</w:t>
            </w:r>
          </w:p>
        </w:tc>
      </w:tr>
      <w:tr>
        <w:trPr>
          <w:trHeight w:val="27"/>
        </w:trPr>
        <w:tc>
          <w:tcPr>
            <w:tcW w:w="3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3980" w:type="dxa"/>
            <w:vAlign w:val="bottom"/>
            <w:shd w:val="clear" w:color="auto" w:fill="EAF9E8"/>
          </w:tcPr>
          <w:p>
            <w:pPr>
              <w:spacing w:after="0"/>
              <w:rPr>
                <w:sz w:val="24"/>
                <w:szCs w:val="24"/>
                <w:color w:val="auto"/>
              </w:rPr>
            </w:pPr>
          </w:p>
        </w:tc>
        <w:tc>
          <w:tcPr>
            <w:tcW w:w="1980" w:type="dxa"/>
            <w:vAlign w:val="bottom"/>
            <w:shd w:val="clear" w:color="auto" w:fill="EAF9E8"/>
          </w:tcPr>
          <w:p>
            <w:pPr>
              <w:spacing w:after="0"/>
              <w:rPr>
                <w:sz w:val="24"/>
                <w:szCs w:val="24"/>
                <w:color w:val="auto"/>
              </w:rPr>
            </w:pPr>
          </w:p>
        </w:tc>
        <w:tc>
          <w:tcPr>
            <w:tcW w:w="1920" w:type="dxa"/>
            <w:vAlign w:val="bottom"/>
            <w:shd w:val="clear" w:color="auto" w:fill="EAF9E8"/>
          </w:tcPr>
          <w:p>
            <w:pPr>
              <w:spacing w:after="0"/>
              <w:rPr>
                <w:sz w:val="24"/>
                <w:szCs w:val="24"/>
                <w:color w:val="auto"/>
              </w:rPr>
            </w:pPr>
          </w:p>
        </w:tc>
        <w:tc>
          <w:tcPr>
            <w:tcW w:w="1760" w:type="dxa"/>
            <w:vAlign w:val="bottom"/>
            <w:shd w:val="clear" w:color="auto" w:fill="EAF9E8"/>
          </w:tcPr>
          <w:p>
            <w:pPr>
              <w:spacing w:after="0"/>
              <w:rPr>
                <w:sz w:val="24"/>
                <w:szCs w:val="24"/>
                <w:color w:val="auto"/>
              </w:rPr>
            </w:pPr>
          </w:p>
        </w:tc>
        <w:tc>
          <w:tcPr>
            <w:tcW w:w="1780" w:type="dxa"/>
            <w:vAlign w:val="bottom"/>
            <w:shd w:val="clear" w:color="auto" w:fill="EAF9E8"/>
          </w:tcPr>
          <w:p>
            <w:pPr>
              <w:spacing w:after="0"/>
              <w:rPr>
                <w:sz w:val="24"/>
                <w:szCs w:val="24"/>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980" w:type="dxa"/>
            <w:vAlign w:val="bottom"/>
          </w:tcPr>
          <w:p>
            <w:pPr>
              <w:jc w:val="center"/>
              <w:ind w:left="170"/>
              <w:spacing w:after="0"/>
              <w:rPr>
                <w:sz w:val="20"/>
                <w:szCs w:val="20"/>
                <w:color w:val="auto"/>
              </w:rPr>
            </w:pPr>
            <w:r>
              <w:rPr>
                <w:rFonts w:ascii="Arial" w:cs="Arial" w:eastAsia="Arial" w:hAnsi="Arial"/>
                <w:sz w:val="18"/>
                <w:szCs w:val="18"/>
                <w:color w:val="auto"/>
                <w:w w:val="87"/>
              </w:rPr>
              <w:t>June 15, 2015</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February 6, 2015</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19, 2015</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February 4, 2015</w:t>
            </w:r>
          </w:p>
        </w:tc>
      </w:tr>
    </w:tbl>
    <w:p>
      <w:pPr>
        <w:spacing w:after="0" w:line="121"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Residential non-prime servicer rating.</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Removed from review for downgrade in June 2015.</w:t>
      </w:r>
    </w:p>
    <w:p>
      <w:pPr>
        <w:spacing w:after="0" w:line="1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(or a ratings watch) to a mortgage servicer’s rating status. A negative outlook is generally used to indicate that a ranking “may be lowered.” Each of these rating agencies has downgraded our servicer rating within the last year. In June 2015, Moody’s and Fitch confirmed our servicer ratings and S&amp;P lowered a number of our residential servicer ratings to “Below Average”.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Failure to maintain minimum servicer ratings could also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Certain of our servicing agreements require that we maintain specified servicer ratings. Out of 4,053 non-Agency servicing agreements, 726 with $43.1 billion of UPB as of June 30, 2015 have minimum servicer ratings criteria. As a result of downgrades in our servicer ratings, termination rights have been triggered in 644 of these non-Agency servicing agreements. This represents approximately $36.9 billion in UPB as of June 30, 2015, or approximately 18% of our total non-Agency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7" w:name="page58"/>
    <w:bookmarkEnd w:id="57"/>
    <w:p>
      <w:pPr>
        <w:spacing w:after="0" w:line="255" w:lineRule="auto"/>
        <w:rPr>
          <w:sz w:val="20"/>
          <w:szCs w:val="20"/>
          <w:color w:val="auto"/>
        </w:rPr>
      </w:pPr>
      <w:r>
        <w:rPr>
          <w:rFonts w:ascii="Arial" w:cs="Arial" w:eastAsia="Arial" w:hAnsi="Arial"/>
          <w:sz w:val="18"/>
          <w:szCs w:val="18"/>
          <w:color w:val="auto"/>
        </w:rPr>
        <w:t>servicing portfolio.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The financial impact of the termination of servicing under these four servicing agreements was immaterial to our overall financial condition.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58" w:name="page59"/>
    <w:bookmarkEnd w:id="58"/>
    <w:p>
      <w:pPr>
        <w:ind w:right="16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three and six months ended June 30.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9"/>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394,171</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487,349</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838,074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973,861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4,003</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7,481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396,922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491,352</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843,396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981,342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16,651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37,862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12,477</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21,146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22,098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423,207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520,480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894,332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1,041,302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62,440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68,909</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123,966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141,314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w w:val="98"/>
              </w:rPr>
              <w:t>Amortization of mortgage servicing rights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62,794</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124,574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49,948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32,472</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149,516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71,318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30,557</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60,412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15,423</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61,711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23,331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21,519</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48,461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59,796</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66,427</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126,784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136,623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284,413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298,101</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606,033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463</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(130,630)</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(267,016)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8"/>
              </w:rPr>
              <w:t>Gain (loss) on sale of mortgage servicing</w:t>
            </w: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rights</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30,306</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56,712</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(94,215)</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(130,851)</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(180,707)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(267,118)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44,579</w:t>
            </w:r>
          </w:p>
        </w:tc>
        <w:tc>
          <w:tcPr>
            <w:tcW w:w="4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91,528</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91,300</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168,151</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4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provides selected operating statistics at June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Unpaid principal balance: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279,998,076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379,205,336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35,239,635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49,116,671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6,432,868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6,797,841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r>
      <w:tr>
        <w:trPr>
          <w:trHeight w:val="297"/>
        </w:trPr>
        <w:tc>
          <w:tcPr>
            <w:tcW w:w="70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residential assets serviced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321,670,579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435,119,848</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(26)%</w:t>
            </w:r>
          </w:p>
        </w:tc>
      </w:tr>
      <w:tr>
        <w:trPr>
          <w:trHeight w:val="284"/>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Conventional loans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131,618,963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208,505,484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35,260,315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42,636,793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Non-Agency loans (3)</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154,791,301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183,977,571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70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321,670,579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435,119,848</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Percent of total UPB:</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31</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Non-performing residential assets serviced (4)</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Number of:</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1,844,373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2,422,886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176,101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230,650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33,780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35,571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r>
      <w:tr>
        <w:trPr>
          <w:trHeight w:val="297"/>
        </w:trPr>
        <w:tc>
          <w:tcPr>
            <w:tcW w:w="70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 number of residential assets serviced</w:t>
            </w:r>
          </w:p>
        </w:tc>
        <w:tc>
          <w:tcPr>
            <w:tcW w:w="2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2,054,254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2,689,107</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Conventional loans (2)</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763,887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1,175,693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 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244,884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281,242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7060" w:type="dxa"/>
            <w:vAlign w:val="bottom"/>
          </w:tcPr>
          <w:p>
            <w:pPr>
              <w:ind w:left="180"/>
              <w:spacing w:after="0"/>
              <w:rPr>
                <w:sz w:val="20"/>
                <w:szCs w:val="20"/>
                <w:color w:val="auto"/>
              </w:rPr>
            </w:pPr>
            <w:r>
              <w:rPr>
                <w:rFonts w:ascii="Arial" w:cs="Arial" w:eastAsia="Arial" w:hAnsi="Arial"/>
                <w:sz w:val="18"/>
                <w:szCs w:val="18"/>
                <w:color w:val="auto"/>
              </w:rPr>
              <w:t>Non-Agency loans (3)</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1,045,483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1,232,172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70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residential loans serviced</w:t>
            </w:r>
          </w:p>
        </w:tc>
        <w:tc>
          <w:tcPr>
            <w:tcW w:w="2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2,054,254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2,689,107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Servicing portfolio</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Non-performing residential assets serviced (4)</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10"/>
          </w:tcPr>
          <w:p>
            <w:pPr>
              <w:ind w:left="340"/>
              <w:spacing w:after="0"/>
              <w:rPr>
                <w:sz w:val="20"/>
                <w:szCs w:val="20"/>
                <w:color w:val="auto"/>
              </w:rPr>
            </w:pPr>
            <w:r>
              <w:rPr>
                <w:rFonts w:ascii="Arial" w:cs="Arial" w:eastAsia="Arial" w:hAnsi="Arial"/>
                <w:sz w:val="18"/>
                <w:szCs w:val="18"/>
                <w:color w:val="auto"/>
                <w:w w:val="90"/>
              </w:rPr>
              <w:t>The following table provides selected operating statistics for the three and six months ended June 30:</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7"/>
              </w:rPr>
              <w:t>Six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rPr>
              <w:t>Average UPB of residential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960" w:type="dxa"/>
            <w:vAlign w:val="bottom"/>
          </w:tcPr>
          <w:p>
            <w:pPr>
              <w:ind w:left="340"/>
              <w:spacing w:after="0"/>
              <w:rPr>
                <w:sz w:val="20"/>
                <w:szCs w:val="20"/>
                <w:color w:val="auto"/>
              </w:rPr>
            </w:pPr>
            <w:r>
              <w:rPr>
                <w:rFonts w:ascii="Arial" w:cs="Arial" w:eastAsia="Arial" w:hAnsi="Arial"/>
                <w:sz w:val="18"/>
                <w:szCs w:val="18"/>
                <w:color w:val="auto"/>
              </w:rPr>
              <w:t>serviced:</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318,725,760</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385,366,825</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w w:val="95"/>
              </w:rPr>
              <w:t>(17)%</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1"/>
              </w:rPr>
              <w:t>336,374,282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390,088,502</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w w:val="95"/>
              </w:rPr>
              <w:t>(14)%</w:t>
            </w:r>
          </w:p>
        </w:tc>
      </w:tr>
      <w:tr>
        <w:trPr>
          <w:trHeight w:val="243"/>
        </w:trPr>
        <w:tc>
          <w:tcPr>
            <w:tcW w:w="296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39,541,118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57,432,546</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38,917,894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59,586,236</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(35)</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296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358,266,878</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442,799,371</w:t>
            </w:r>
          </w:p>
        </w:tc>
        <w:tc>
          <w:tcPr>
            <w:tcW w:w="1140" w:type="dxa"/>
            <w:vAlign w:val="bottom"/>
            <w:gridSpan w:val="2"/>
            <w:shd w:val="clear" w:color="auto" w:fill="EAF9E8"/>
          </w:tcPr>
          <w:p>
            <w:pPr>
              <w:ind w:left="660"/>
              <w:spacing w:after="0"/>
              <w:rPr>
                <w:sz w:val="20"/>
                <w:szCs w:val="20"/>
                <w:color w:val="auto"/>
              </w:rPr>
            </w:pPr>
            <w:r>
              <w:rPr>
                <w:rFonts w:ascii="Arial" w:cs="Arial" w:eastAsia="Arial" w:hAnsi="Arial"/>
                <w:sz w:val="18"/>
                <w:szCs w:val="18"/>
                <w:color w:val="auto"/>
                <w:w w:val="95"/>
              </w:rPr>
              <w:t>(19)%</w:t>
            </w:r>
          </w:p>
        </w:tc>
        <w:tc>
          <w:tcPr>
            <w:tcW w:w="100" w:type="dxa"/>
            <w:vAlign w:val="bottom"/>
            <w:shd w:val="clear" w:color="auto" w:fill="EAF9E8"/>
          </w:tcPr>
          <w:p>
            <w:pPr>
              <w:spacing w:after="0"/>
              <w:rPr>
                <w:sz w:val="22"/>
                <w:szCs w:val="22"/>
                <w:color w:val="auto"/>
              </w:rPr>
            </w:pPr>
          </w:p>
        </w:tc>
        <w:tc>
          <w:tcPr>
            <w:tcW w:w="42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1"/>
              </w:rPr>
              <w:t>375,292,176</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449,674,738</w:t>
            </w:r>
          </w:p>
        </w:tc>
        <w:tc>
          <w:tcPr>
            <w:tcW w:w="1140" w:type="dxa"/>
            <w:vAlign w:val="bottom"/>
            <w:gridSpan w:val="2"/>
            <w:shd w:val="clear" w:color="auto" w:fill="EAF9E8"/>
          </w:tcPr>
          <w:p>
            <w:pPr>
              <w:ind w:left="660"/>
              <w:spacing w:after="0"/>
              <w:rPr>
                <w:sz w:val="20"/>
                <w:szCs w:val="20"/>
                <w:color w:val="auto"/>
              </w:rPr>
            </w:pPr>
            <w:r>
              <w:rPr>
                <w:rFonts w:ascii="Arial" w:cs="Arial" w:eastAsia="Arial" w:hAnsi="Arial"/>
                <w:sz w:val="18"/>
                <w:szCs w:val="18"/>
                <w:color w:val="auto"/>
                <w:w w:val="95"/>
              </w:rPr>
              <w:t>(17)%</w:t>
            </w: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692"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9"/>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7"/>
              </w:rPr>
              <w:t>Prepayment speed (average CPR)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Voluntary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Involuntary</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46</w:t>
            </w:r>
          </w:p>
        </w:tc>
      </w:tr>
      <w:tr>
        <w:trPr>
          <w:trHeight w:val="229"/>
        </w:trPr>
        <w:tc>
          <w:tcPr>
            <w:tcW w:w="2880" w:type="dxa"/>
            <w:vAlign w:val="bottom"/>
          </w:tcPr>
          <w:p>
            <w:pPr>
              <w:ind w:left="280"/>
              <w:spacing w:after="0"/>
              <w:rPr>
                <w:sz w:val="20"/>
                <w:szCs w:val="20"/>
                <w:color w:val="auto"/>
              </w:rPr>
            </w:pPr>
            <w:r>
              <w:rPr>
                <w:rFonts w:ascii="Arial" w:cs="Arial" w:eastAsia="Arial" w:hAnsi="Arial"/>
                <w:sz w:val="18"/>
                <w:szCs w:val="18"/>
                <w:color w:val="auto"/>
              </w:rPr>
              <w:t>% CPR due to principal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jc w:val="center"/>
              <w:ind w:right="990"/>
              <w:spacing w:after="0"/>
              <w:rPr>
                <w:sz w:val="20"/>
                <w:szCs w:val="20"/>
                <w:color w:val="auto"/>
              </w:rPr>
            </w:pPr>
            <w:r>
              <w:rPr>
                <w:rFonts w:ascii="Arial" w:cs="Arial" w:eastAsia="Arial" w:hAnsi="Arial"/>
                <w:sz w:val="18"/>
                <w:szCs w:val="18"/>
                <w:color w:val="auto"/>
                <w:w w:val="95"/>
              </w:rPr>
              <w:t>modification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0"/>
              </w:rPr>
              <w:t>Average number of residential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serviced: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2,011,597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2,376,473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2,117,756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2,401,709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229,854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350,218</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228,965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368,561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2,241,451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2,726,691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2,346,721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2,770,270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1"/>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2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1"/>
        </w:trPr>
        <w:tc>
          <w:tcPr>
            <w:tcW w:w="2880" w:type="dxa"/>
            <w:vAlign w:val="bottom"/>
            <w:tcBorders>
              <w:bottom w:val="single" w:sz="8" w:color="EAF9E8"/>
            </w:tcBorders>
            <w:shd w:val="clear" w:color="auto" w:fill="EAF9E8"/>
          </w:tcPr>
          <w:p>
            <w:pPr>
              <w:jc w:val="center"/>
              <w:ind w:right="1010"/>
              <w:spacing w:after="0"/>
              <w:rPr>
                <w:sz w:val="20"/>
                <w:szCs w:val="20"/>
                <w:color w:val="auto"/>
              </w:rPr>
            </w:pPr>
            <w:r>
              <w:rPr>
                <w:rFonts w:ascii="Arial" w:cs="Arial" w:eastAsia="Arial" w:hAnsi="Arial"/>
                <w:sz w:val="18"/>
                <w:szCs w:val="18"/>
                <w:b w:val="1"/>
                <w:bCs w:val="1"/>
                <w:color w:val="auto"/>
                <w:w w:val="86"/>
              </w:rPr>
              <w:t>Subservicing Fees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rPr>
              <w:t>Loan servicing and subservicing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fees: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283,340</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353,492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601,813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702,634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28,031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30,692</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58,348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64,410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311,371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384,184</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660,161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767,044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41,203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36,662</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76,379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73,360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4</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20,137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32,389</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44,153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69,070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8,611</w:t>
            </w: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16,892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6"/>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1,579</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3,223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23,924</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44,272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394,171</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487,349</w:t>
            </w:r>
          </w:p>
        </w:tc>
        <w:tc>
          <w:tcPr>
            <w:tcW w:w="1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838,074</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973,861</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8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2880" w:type="dxa"/>
            <w:vAlign w:val="bottom"/>
            <w:shd w:val="clear" w:color="auto" w:fill="EAF9E8"/>
          </w:tcPr>
          <w:p>
            <w:pPr>
              <w:jc w:val="center"/>
              <w:ind w:right="990"/>
              <w:spacing w:after="0"/>
              <w:rPr>
                <w:sz w:val="20"/>
                <w:szCs w:val="20"/>
                <w:color w:val="auto"/>
              </w:rPr>
            </w:pPr>
            <w:r>
              <w:rPr>
                <w:rFonts w:ascii="Arial" w:cs="Arial" w:eastAsia="Arial" w:hAnsi="Arial"/>
                <w:sz w:val="18"/>
                <w:szCs w:val="18"/>
                <w:b w:val="1"/>
                <w:bCs w:val="1"/>
                <w:color w:val="auto"/>
                <w:w w:val="91"/>
              </w:rPr>
              <w:t>Number of Completed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1"/>
        </w:trPr>
        <w:tc>
          <w:tcPr>
            <w:tcW w:w="2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Modifications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HAMP</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23,275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22,632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11,849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15,885</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33,292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97"/>
        </w:trPr>
        <w:tc>
          <w:tcPr>
            <w:tcW w:w="28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23,172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27,468</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48,182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55,924</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189"/>
        </w:trPr>
        <w:tc>
          <w:tcPr>
            <w:tcW w:w="2880" w:type="dxa"/>
            <w:vAlign w:val="bottom"/>
            <w:shd w:val="clear" w:color="auto" w:fill="EAF9E8"/>
          </w:tcPr>
          <w:p>
            <w:pPr>
              <w:ind w:left="280"/>
              <w:spacing w:after="0" w:line="189" w:lineRule="exact"/>
              <w:rPr>
                <w:sz w:val="20"/>
                <w:szCs w:val="20"/>
                <w:color w:val="auto"/>
              </w:rPr>
            </w:pPr>
            <w:r>
              <w:rPr>
                <w:rFonts w:ascii="Arial" w:cs="Arial" w:eastAsia="Arial" w:hAnsi="Arial"/>
                <w:sz w:val="18"/>
                <w:szCs w:val="18"/>
                <w:color w:val="auto"/>
              </w:rPr>
              <w:t>% Total with principal</w:t>
            </w:r>
          </w:p>
        </w:tc>
        <w:tc>
          <w:tcPr>
            <w:tcW w:w="340" w:type="dxa"/>
            <w:vAlign w:val="bottom"/>
            <w:shd w:val="clear" w:color="auto" w:fill="EAF9E8"/>
          </w:tcPr>
          <w:p>
            <w:pPr>
              <w:spacing w:after="0"/>
              <w:rPr>
                <w:sz w:val="16"/>
                <w:szCs w:val="16"/>
                <w:color w:val="auto"/>
              </w:rPr>
            </w:pPr>
          </w:p>
        </w:tc>
        <w:tc>
          <w:tcPr>
            <w:tcW w:w="114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r>
      <w:tr>
        <w:trPr>
          <w:trHeight w:val="237"/>
        </w:trPr>
        <w:tc>
          <w:tcPr>
            <w:tcW w:w="2880" w:type="dxa"/>
            <w:vAlign w:val="bottom"/>
            <w:tcBorders>
              <w:bottom w:val="single" w:sz="8" w:color="EAF9E8"/>
            </w:tcBorders>
            <w:shd w:val="clear" w:color="auto" w:fill="EAF9E8"/>
          </w:tcPr>
          <w:p>
            <w:pPr>
              <w:jc w:val="center"/>
              <w:ind w:right="990"/>
              <w:spacing w:after="0"/>
              <w:rPr>
                <w:sz w:val="20"/>
                <w:szCs w:val="20"/>
                <w:color w:val="auto"/>
              </w:rPr>
            </w:pPr>
            <w:r>
              <w:rPr>
                <w:rFonts w:ascii="Arial" w:cs="Arial" w:eastAsia="Arial" w:hAnsi="Arial"/>
                <w:sz w:val="18"/>
                <w:szCs w:val="18"/>
                <w:color w:val="auto"/>
                <w:w w:val="95"/>
              </w:rPr>
              <w:t>modification</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756"/>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7"/>
              </w:rPr>
              <w:t>Six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7"/>
              </w:rPr>
              <w:t>Average balance of advances and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340"/>
              <w:spacing w:after="0"/>
              <w:rPr>
                <w:sz w:val="20"/>
                <w:szCs w:val="20"/>
                <w:color w:val="auto"/>
              </w:rPr>
            </w:pPr>
            <w:r>
              <w:rPr>
                <w:rFonts w:ascii="Arial" w:cs="Arial" w:eastAsia="Arial" w:hAnsi="Arial"/>
                <w:sz w:val="18"/>
                <w:szCs w:val="18"/>
                <w:color w:val="auto"/>
              </w:rPr>
              <w:t>match funded advances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2,873,848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3,532,025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3,016,537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3,512,396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1,877,385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2,204,286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1,929,200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2,283,771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773,440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819,710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790,740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755,252</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1,131,653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1,318,575</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1,226,852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1,316,035</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 on borrowings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15,348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31,665</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74,448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93,456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148,334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193,481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18,032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43,843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36,033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Effective average interest rate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 (5)</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45.60%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51.24%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Facility costs included in interest</w:t>
            </w: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expense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13,160</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4,929</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19,772</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9,232</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Discount amortization included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330</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661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1-month LIBOR</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6,603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6,041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 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2,631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28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9,019</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9,122</w:t>
            </w:r>
          </w:p>
        </w:tc>
        <w:tc>
          <w:tcPr>
            <w:tcW w:w="11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9,084</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8,672</w:t>
            </w:r>
          </w:p>
        </w:tc>
        <w:tc>
          <w:tcPr>
            <w:tcW w:w="11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28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w w:val="98"/>
              </w:rPr>
              <w:t>Collections on loans serviced for</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19,427,314</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20,202,606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37,991,305</w:t>
            </w: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color w:val="auto"/>
              </w:rPr>
              <w:t>38,827,113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others</w:t>
            </w:r>
          </w:p>
        </w:tc>
        <w:tc>
          <w:tcPr>
            <w:tcW w:w="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Includes 678,029 and 770,415 subprime loans with a UPB of $112.0 billion and $131.8 billion at June 30, 2015 and June 30, 2014, respectively.</w:t>
      </w:r>
    </w:p>
    <w:p>
      <w:pPr>
        <w:spacing w:after="0" w:line="20" w:lineRule="exact"/>
        <w:rPr>
          <w:rFonts w:ascii="Arial" w:cs="Arial" w:eastAsia="Arial" w:hAnsi="Arial"/>
          <w:sz w:val="17"/>
          <w:szCs w:val="17"/>
          <w:color w:val="auto"/>
        </w:rPr>
      </w:pPr>
    </w:p>
    <w:p>
      <w:pPr>
        <w:ind w:left="500" w:right="420" w:hanging="492"/>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218,112 and 261,703 prime loans with a UPB of $43.8 billion and $56.7 billion at June 30, 2015 and June 30, 2014, respectively, that we service or subservice.</w:t>
      </w: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jc w:val="both"/>
        <w:ind w:left="500" w:right="200" w:hanging="492"/>
        <w:spacing w:after="0" w:line="255"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 average interest rate on the financing liability that we recognized in connection with the sales of rights to MSRs to NRZ is 48.84% and 57.37% for the three months ended June 30, 2015 and 2014, respectively, and 47.88% and 59.41% for the six months ended June 30, 2015 and 2014,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2"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Arial" w:cs="Arial" w:eastAsia="Arial" w:hAnsi="Arial"/>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2,246,103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4,507,762</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28,972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EAF9E8"/>
            </w:tcBorders>
            <w:gridSpan w:val="3"/>
            <w:shd w:val="clear" w:color="auto" w:fill="EAF9E8"/>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(3,267,861)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(6,001,718)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(51,907)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(15,491,967)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(13,586,780)</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(78,148)</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(75,596)</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382,214,002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449,570,596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2,390,774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2,763,387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2,340,063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1,498,220</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12,116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7,862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(1)(2)</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(43,692,860)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(247,760)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(3,926,601)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(1,870,009)</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(22,091)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(8,349)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(15,264,025)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(14,078,959)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(78,785)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(73,793)</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321,670,579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435,119,848</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2,054,254</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2,689,107</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40" w:hanging="492"/>
        <w:spacing w:after="0" w:line="256"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March 31, 2015, we completed the sale of Agency MSRs on a portfolio consisting of 76,000 loans with a UPB of $9.1 billion. We continued to subservice these loans until the servicing transfer was completed on April 16, 2015. See Note 4 — Sales of Advances and MSRs and Note 8 – Mortgage Servicing to the unaudited Consolidated Financial Statements.</w:t>
      </w:r>
    </w:p>
    <w:p>
      <w:pPr>
        <w:ind w:left="500" w:right="240" w:hanging="492"/>
        <w:spacing w:after="0" w:line="277"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June 1, 2015, we completed the sale of Agency MSRs on a portfolio consisting of approximately 157,000 loans with a UPB of $20.7 billion. We will continue to subservice these loans until the servicing transfer, which is expected to be completed in September 1, 2015. See Note 4 — Sales of Advances and MSRs and Note 8 – Mortgage Servicing to the unaudited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2014</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Total residential servicing and subservicing fees decreased 19% as a result of MSR sales, driving a 19% decline in the average UPB of our servicing portfolio, and a 16% decline in total completed modifications. Other income for the second quarter of 2015 includes net gains of $30.3 million recognized on the sale of Agency MSRs with a UPB of $56.5 billion.</w:t>
      </w:r>
    </w:p>
    <w:p>
      <w:pPr>
        <w:spacing w:after="0" w:line="73"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We recognized servicing fee, late fee and HAMP fee revenue of $67.0 million and $71.4 million during the second quarter of 2015 and 2014, respectively, in connection with loan modifications.</w:t>
      </w:r>
    </w:p>
    <w:p>
      <w:pPr>
        <w:spacing w:after="0" w:line="6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estimate the balance of deferred servicing fees related to delinquent borrower payments was $488.5 million at June 30, 2015 compared to $561.8 million at June 30, 2014. The net decrease is primarily due to collections and resolutions of delinquent loans through modification, payoff or other resolution. We are contractually obligated to remit all deferred servicing fees collected in connection with MSRs underlying the sales of Rights to MSRs to NRZ. We are entitled to base servicing and performance fees that increase to the extent we collect deferred servicing fees. As such, the majority of the deferred servicing fees collected are recognized by us as revenue and as a reduction of interest expense related to the NRZ financing liability.</w:t>
      </w:r>
    </w:p>
    <w:p>
      <w:pPr>
        <w:spacing w:after="0" w:line="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Expenses decreased $13.7 million, or 5%, in 2015 as compared to 2014. The decrease is attributable primarily to lower MSR-related valuation impacts of $32.2 million as a result of MSR sales and an increase in mortgage rates during the quarter and integration benefits of $18.1 million offset by higher direct and indirect (through overhead allocations) professional services expenses of $17.6 million and $16.4 million, respectively, in connection with litigation, regulatory monitoring and compliance costs. Integration-related benefits include a $6.5 million decline in compensation and benefits upon finalizing our platform integration activities that reduced the average U.S. based headcount by 18%, offset in part by a 5% increase in average India based and other headcount. Charge-offs and provisions in connection with non-recoverable advances and receivables decreased $10.7 million and servicing-related outsourcing expenses declined $7.4 million.</w:t>
      </w:r>
    </w:p>
    <w:p>
      <w:pPr>
        <w:spacing w:after="0" w:line="8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Interest expense declined by $14.5 million, or 11%, in the second quarter of 2015 due principally to an $18.3 million decrease in interest on the NRZ financing liabilities as the average outstanding balance declined by 6% and a $2.1 million decrease in interest on the SSTL as a result of prepayments of $334.6 million during 2015. There were no changes in fair value in the second quarter of 2015 related to assumption updates. These decreases were partly offset by increases in the write-off of SSTL debt issuance costs resulting both from $18.8 million of additional deferred debt issuance costs incurred in 2015 as a result of our modifying the SSTL and from accelerated write-offs because of the SSTL prepayments in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Six Months Ended June 30, 2015 versus 2014</w:t>
      </w:r>
    </w:p>
    <w:p>
      <w:pPr>
        <w:spacing w:after="0" w:line="117"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Total residential servicing and subservicing fees decreased by 14% as a result of MSR sales, driving a 17% decline in the average UPB of our servicing portfolio, and a 25% decline in total completed modifications. Other income for the first half of 2015 includes net gains of $56.7 million recognized on the sale of Agency MSRs with a UPB of $65.6 billion.</w:t>
      </w:r>
    </w:p>
    <w:p>
      <w:pPr>
        <w:spacing w:after="0" w:line="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Gains on the sale of modified FHA and VA insured loans for the six months ended June 30, 2015 include $12.9 million recognized during the first quarter of 2015 in connection with the sale of $42.7 million UPB of loans repurchased as a result of indemnification obligations. Gains recognized during the six months ended June 30, 2014 include gains of $8.5 million in connection with the Ginnie Mae EBO Transactions.</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Expenses increased $16.3 million, or 3%, in the first half of 2015 as compared to 2014. The increase is attributable primarily to higher direct and indirect (through overhead allocations) professional services expenses of $38.4 million and $50.3 million, respectively, in connection with litigation, regulatory monitoring and compliance costs. Offsetting these increases are lower MSR related valuation impacts of $16.4 million as a result of MSR sales and integration benefits of $60.1 million.</w:t>
      </w:r>
    </w:p>
    <w:p>
      <w:pPr>
        <w:spacing w:after="0" w:line="7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Integration related benefits include a $17.3 million decline in compensation and benefits upon finalizing our platform integration activities that reduced the average U.S. based headcount by 19%, offset in part by a 15% increase in average India based and other headcount. Charge-offs and provisions in connection with non-recoverable advances and receivables decreased $27.9 million and servicing-related outsourcing expenses declined $14.9 million.</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decreased by $40.3 million, or 15%, in the six months ended June 30, 2015 as compared to the six months ended June 30, 2014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$45.9 million attributable to a decrease in the average balance of the NRZ financing liability and a $2.3 million decrease in interest on the SSTL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$334.6 million of prepayments during 2015. These decreases in interest expense were partly offset by increases in the write-off of debt issuance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additional deferred SSTL financing costs incurred in 2015 and the accelerated write-offs resulting from prepayments of the SSTL in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originate and purchase conventional and government-insured forward mortgage loans through our Homeward lending operations. Loans are acquired through three primary channels: correspondent lender relationships, broker relationships and directly with mortgage customers. Per-loan gross and net margin varies by channel, with correspondent typically being the lowest and direct the highest. After origination, we package and sell the loans in the secondary mortgage market, through GSE securitizations and whole loan transactions. We typically retain the associated MSRs as a low cost means to acquire MSRs with good return profiles.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16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Reverse mortgages are originated and purchased through our Liberty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variable rate HECM loans under which the borrowers have additional borrowing capacity of $786.2 million at June 30, 2015.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June 30, 2015, Future Value is estimated to be $58.0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June 30, 2015</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510,809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345,338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224,220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1,080,367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84,058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114,724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47,226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246,008</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594,867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460,062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271,446</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1,326,375</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884,592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650,406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465,854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2,000,852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134,453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213,074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437,825</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1,019,045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863,480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556,152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2,438,677</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June 30, 2014</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632,471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229,600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301,511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1,163,582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38,345</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70,503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36,227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145,075</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670,816</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300,103</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337,738</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1,308,657</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1,323,126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381,165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599,987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2,304,278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83,931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308,320</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1,407,057</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529,183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676,358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2,612,598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5" w:name="page66"/>
    <w:bookmarkEnd w:id="65"/>
    <w:p>
      <w:pPr>
        <w:ind w:right="3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and six months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7"/>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19,961</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15,654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40,219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32,948</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6,531</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12,013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60</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30,020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22,185</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59,430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44,961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32</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8,981</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14,972</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39,312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31,166</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77,059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59,933</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29</w:t>
            </w:r>
          </w:p>
        </w:tc>
      </w:tr>
      <w:tr>
        <w:trPr>
          <w:trHeight w:val="264"/>
        </w:trPr>
        <w:tc>
          <w:tcPr>
            <w:tcW w:w="3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15,580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32,553</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3,338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8,634</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1,171</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2,412</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2,003</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802</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4,858</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10,117</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26,586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27,164</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58,629</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(14)</w:t>
            </w:r>
          </w:p>
        </w:tc>
      </w:tr>
      <w:tr>
        <w:trPr>
          <w:trHeight w:val="291"/>
        </w:trPr>
        <w:tc>
          <w:tcPr>
            <w:tcW w:w="3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4,282</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8,291</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(5,670)</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Gain on debt redemption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632</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1,098</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28</w:t>
            </w:r>
          </w:p>
        </w:tc>
      </w:tr>
      <w:tr>
        <w:trPr>
          <w:trHeight w:val="237"/>
        </w:trPr>
        <w:tc>
          <w:tcPr>
            <w:tcW w:w="34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6,328</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10"/>
        </w:trPr>
        <w:tc>
          <w:tcPr>
            <w:tcW w:w="34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14,445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7,053</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30,429</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7,632</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299</w:t>
            </w:r>
          </w:p>
        </w:tc>
      </w:tr>
      <w:tr>
        <w:trPr>
          <w:trHeight w:val="20"/>
        </w:trPr>
        <w:tc>
          <w:tcPr>
            <w:tcW w:w="3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2014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second quarter of 2015, Homeward forward lending revenues increased by $3.3 million, or 16%, from first quarter of 2014 levels to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$23.7 million. This increase occurred despite a decline in mortgage originations to $1.1 billion, which was $83.2 million, or 7%, less than originations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2014. Forward lending operations, in the second quarter of 2015, generated $13.0 million of pre-tax income, which was an increase of $4.3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or 49%, from second quarter of 2014 earnings. This improvement occurred in part due to a shift in channel business mix from the lower margin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correspondent channel to the higher margin direct channel, which has resulted in better margin rates. Forward lending expenses of $12.1 million represented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of $2.6 million, or 18%, from second quarter of 2014, principally because of declines in compensation and benefit expenses related to reduced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headcount as well as lower vendor loan expenses related to lower funded volumes in the correspondent channel.</w:t>
      </w:r>
    </w:p>
    <w:p>
      <w:pPr>
        <w:spacing w:after="0" w:line="21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the second quarter of 2015, Liberty reverse lending revenues of $15.7 million increased by $4.9 million, or 45%, and funded reverse mortgage volume of $246.0 million increased $100.9 million, or 70%, from the second quarter of 2014. Reverse lending operations generated pre-tax income of $1.5 million as compared to a pre-tax loss of $1.6 million in the second quarter of 2014. The improvement in reverse lending earnings was due to the $100.9 million increase in volume that was partially offset by lower margin rates and higher volume-related expenses. The HECM program changes instituted by HUD in 2013 resulted in the reverse mortgage market shifting from one that consisted primarily of fixed rate products to one where variable rate products predominated, which resulted in a consequent decrease in volumes and a lower loan size at origination for the industry and for Liberty. The lower day one loan size in turn resulted in a lower gain on sale when the loans were securitized. Over time, however, the loan balances on these variable rate loans should increase through subsequent draws by the borrowers. As these additional draws are securitized, we expect to recognize additional gain on sale at a minimal incremental cost.</w:t>
      </w:r>
    </w:p>
    <w:p>
      <w:pPr>
        <w:sectPr>
          <w:pgSz w:w="11900" w:h="16838" w:orient="portrait"/>
          <w:cols w:equalWidth="0" w:num="1">
            <w:col w:w="11420"/>
          </w:cols>
          <w:pgMar w:left="240" w:top="692"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692" w:right="239" w:bottom="1440" w:gutter="0" w:footer="0" w:header="0"/>
          <w:type w:val="continuous"/>
        </w:sectPr>
      </w:pPr>
    </w:p>
    <w:bookmarkStart w:id="66" w:name="page67"/>
    <w:bookmarkEnd w:id="66"/>
    <w:p>
      <w:pPr>
        <w:ind w:right="140" w:firstLine="324"/>
        <w:spacing w:after="0" w:line="277" w:lineRule="auto"/>
        <w:rPr>
          <w:sz w:val="20"/>
          <w:szCs w:val="20"/>
          <w:color w:val="auto"/>
        </w:rPr>
      </w:pPr>
      <w:r>
        <w:rPr>
          <w:rFonts w:ascii="Arial" w:cs="Arial" w:eastAsia="Arial" w:hAnsi="Arial"/>
          <w:sz w:val="18"/>
          <w:szCs w:val="18"/>
          <w:color w:val="auto"/>
        </w:rPr>
        <w:t>Expenses related to the Homeward and Liberty platforms are driven largely by production volume, with direct acquisition costs offset by origination fee income that is included in Other revenue.</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The decrease in new forward lending production drove the declines in interest income and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2014</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six months ended June 30, 2015, the Homeward forward lending operations generated $27.7 million of pre-tax income on revenues of $48.1 million. This compares to $15.6 million of pre-tax income on revenues of $42.4 million for the six months ended June 30, 2014. Forward mortgage originations for the six months ended June 30, 2015 and 2014 were $2.0 billion and $2.3 billion, respectively. The shift in channel business mix from the lower margin correspondent channel to the higher margin direct channel and better margin rates in both the correspondent and direct channels led to improved forward lending results despite the effects of the 13% decrease in total funding volume.</w:t>
      </w:r>
    </w:p>
    <w:p>
      <w:pPr>
        <w:spacing w:after="0" w:line="8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As part of forward lending, we have, from time to time, sold MSRs for certain forward loans that may qualify for refinancing under the HARP program to an unrelated third party. We account for these transactions as secured financings. We recognize gains on the retirement of the related financing liabilities upon repurchase of those MSRs related to loans that were successfully refinanced. During the six months ended June 30, 2014, we recognized gains of $2.6 million on the retirement of the related financing liabilities upon repurchase of MSRs related to loans that were successfully refinanced through HARP.</w:t>
      </w:r>
    </w:p>
    <w:p>
      <w:pPr>
        <w:spacing w:after="0" w:line="4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six months ended June 30, 2015, Liberty generated pre-tax income of $2.7 million on revenues of $29.0 million and a 42% increase in funded reverse mortgage volume to $437.8 million. This compares to a pre-tax loss of $8.0 million on revenues of $17.5 million and reverse mortgage originations of $308.3 million UPB for the six months ended June 30, 2014. Results for the six months ended June 30, 2014 were negatively impacted by HUD’s changes to the HECM program in 2013. Results have improved in 2015 as a result of higher volumes and higher margin rates that were partially offset by a minor increase in volume-related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Business activities that are not considered to be of continuing significance include subprime non-Agency loans held for sale (at lower of cost or fair value), investments in mortgage-backed securities, affordable housing investment activities and investments in unconsolidated entities.</w:t>
      </w:r>
    </w:p>
    <w:p>
      <w:pPr>
        <w:spacing w:after="0" w:line="3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three and six months ended June 30.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9"/>
              </w:rPr>
              <w:t>Six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4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4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34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0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40" w:type="dxa"/>
            <w:vAlign w:val="bottom"/>
            <w:shd w:val="clear" w:color="auto" w:fill="EAF9E8"/>
          </w:tcPr>
          <w:p>
            <w:pPr>
              <w:spacing w:after="0"/>
              <w:rPr>
                <w:sz w:val="23"/>
                <w:szCs w:val="23"/>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340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tcBorders>
              <w:bottom w:val="single" w:sz="8" w:color="auto"/>
            </w:tcBorders>
            <w:shd w:val="clear" w:color="auto" w:fill="EAF9E8"/>
          </w:tcPr>
          <w:p>
            <w:pPr>
              <w:spacing w:after="0"/>
              <w:rPr>
                <w:sz w:val="19"/>
                <w:szCs w:val="19"/>
                <w:color w:val="auto"/>
              </w:rPr>
            </w:pPr>
          </w:p>
        </w:tc>
        <w:tc>
          <w:tcPr>
            <w:tcW w:w="1060" w:type="dxa"/>
            <w:vAlign w:val="bottom"/>
            <w:tcBorders>
              <w:bottom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57"/>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(46,524)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(66,400)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r>
        <w:trPr>
          <w:trHeight w:val="20"/>
        </w:trPr>
        <w:tc>
          <w:tcPr>
            <w:tcW w:w="3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versus 2014</w:t>
      </w:r>
    </w:p>
    <w:p>
      <w:pPr>
        <w:spacing w:after="0" w:line="117"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Expenses increased by $21.0 million primarily as a result of strategic advisor costs of $23.7 million that are new in 2015 and costs of $3.1 million to maintain the legacy ResCap servicing platform for post-integration audit and compliance purposes, partially offset by lower non-recurring regulatory monitoring costs which have not been allocated to the business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7" w:name="page68"/>
    <w:bookmarkEnd w:id="67"/>
    <w:p>
      <w:pPr>
        <w:ind w:right="220"/>
        <w:spacing w:after="0" w:line="277" w:lineRule="auto"/>
        <w:rPr>
          <w:sz w:val="20"/>
          <w:szCs w:val="20"/>
          <w:color w:val="auto"/>
        </w:rPr>
      </w:pPr>
      <w:r>
        <w:rPr>
          <w:rFonts w:ascii="Arial" w:cs="Arial" w:eastAsia="Arial" w:hAnsi="Arial"/>
          <w:sz w:val="18"/>
          <w:szCs w:val="18"/>
          <w:color w:val="auto"/>
        </w:rPr>
        <w:t>Other income (expense), net for the three months ended June 30, 2015 and 2014 includes $6.7 million and $3.3 million, respectively, of interest expense on the $350.0 million Senior Unsecured Notes that we issued on May 12,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2015 versus 2014</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Expenses increased by $27.9 million primarily because of strategic advisor costs of $23.7 million that are new in 2015 and costs of $6.5 million to maintain the legacy ResCap servicing platform for post-integration audit and compliance purposes. Expenses for the six months ended June 30, 2014 includes the accelerated recognition of $5.4 million of expense related to the surrender of stock options in the second quarter. Additionally, both periods include certain non-recurring regulatory monitoring costs that have not been allocated to the business segments. Other income (expense), net for the six months ended June 30, 2015 and 2014 includes $12.8 million and $3.3 million, respectively, of interest expense on the $350.0 million Senior Unsecured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At June 30, 2015, our cash position was $320.1 million compared to $129.5 million at December 31, 2014. We invest cash that is in excess of our immediate operating needs primarily in money market deposit accounts. Our priorities for deployment of excess cash are: (1) supporting our core servicing and lending businesses and investing in these core assets, (2) reducing corporate leverage, and (3) expanding into similar or complimentary businesses that meet our return on capital requirements.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sales of MSRs and related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Consistent with industry practice, our advance funding facilities have a 364-day revolving period. The revolving periods for notes with a total borrowing capacity of $2.1 billion end in 2015 with the remainder ending their revolving periods in 2016. Similarly, all of our master repurchase and participation agreements for financing new loan originations have 364-day terms, and facilities with a total borrowing capacity of $397.5 million mature in 2015 with the remainder maturing in 2016.</w:t>
      </w:r>
    </w:p>
    <w:p>
      <w:pPr>
        <w:spacing w:after="0" w:line="188"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can look only to the assets of the SPEs for satisfaction of the debt and the debt is not recourse to Ocwen. In connection with our sale of servicing advances to these advance financing SPEs and to NRZ in connection with the Rights to MSRs, we make certain representations, warranties and covenants primarily focused on the nature of the transferred advance receivables and on our servicing practices.</w:t>
      </w:r>
    </w:p>
    <w:p>
      <w:pPr>
        <w:spacing w:after="0" w:line="5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Advances and match funded advances comprised 34% of total assets at June 30, 2015. Our borrowings under our advance funding facilities are secured by pledges of servicing advances that are sold to the related SPE. From December 31, 2014 to June 30, 2015, maximum borrowing capacity for match funded advances decreased by $62.5 million to $2.4 billion, because of our voluntary termination of a $50.0 million facility in January 2015 and the scheduled $12.5 million reduction in the capacity under another facility in the second quarter of 2015. Our unused advance borrowing capacity increased by $286.6 million to $621.4 million at June 30, 2015 as compared to December 31, 2014, principally because of a decrease in borrowing, as total advances and match funded advances declined by $541.0 million during the same period. Our ability to continue to pledge collateral under each advance financing facility depends on the performance of the collateral. At June 30, 2015, only $169.6 million of the available capacity could be used based on the amount of available collateral.</w:t>
      </w:r>
    </w:p>
    <w:p>
      <w:pPr>
        <w:spacing w:after="0" w:line="16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June 30, 2015, we had total borrowing capacity under our warehouse facilities of $647.5 million. Of the borrowing capacity extended on a committed basis, $3.9 million was available at June 30, 2015, including our warehouse facilities for reverse mortgages. Of the borrowing capacity extended on an uncommitted basis or at the discretion of the lender, $328.8 million remained available at June 30, 2015. See Note 11 – Borrowings to the unaudited Consolidated Financial Statements for additional details.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ind w:right="6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4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Funding of originated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w:t>
      </w:r>
    </w:p>
    <w:p>
      <w:pPr>
        <w:spacing w:after="0" w:line="10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Under the terms of our SSTL facility agreement we are required to use 75% of the net sales proceeds from certain permitted asset sales (which generally include our announced Agency MSR sales) to prepay the SSTL. Subject to certain conditions, we are able to reinvest the remaining 25% of such net sales proceeds within 120 days of receipt thereof (subject to an extension of up to 90 days if a binding agreement is entered into within such 120 days). During the six months ended June 30, 2015, we prepaid $334.6 million of the SSTL principal balance from proceeds of completed MSR sales.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October 31, 2013, we announced that our board of directors had authorized a share repurchase program for an aggregate of up to $500.0 million of our issued and outstanding shares of common stock. As of June 30, 2015, the approximate remaining value of shares that may be repurchased under the plan was $129.7 million. On February 5, 2015, we announced that we have suspended this stock repurchase program. We may restart the stock repurchase program in the future, and unless we amend the share repurchase program or repurchase the full $500.0 million amount by an earlier date, the share repurchase program will continue through July 2016. During the six months ended June 30, 2015, we did not repurchase any shares of common stock under this program.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five measures:</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w:t>
      </w:r>
    </w:p>
    <w:p>
      <w:pPr>
        <w:spacing w:after="0" w:line="103"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costs and sales of MSRs and other assets. We have analyzed our cash requirements and financial obligations. Based upon these evaluations and analyses, we believe that we have ample liquidity to meet our obligations through 2015.</w:t>
      </w:r>
    </w:p>
    <w:p>
      <w:pPr>
        <w:spacing w:after="0" w:line="5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Consistent with industry practice, our advance funding facilities have a 364-day revolving period. The revolving periods for notes with a total borrowing capacity of $2.1 billion end in 2015 with the remainder ending their revolving periods in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69" w:name="page70"/>
    <w:bookmarkEnd w:id="69"/>
    <w:p>
      <w:pPr>
        <w:ind w:right="100"/>
        <w:spacing w:after="0" w:line="293" w:lineRule="auto"/>
        <w:rPr>
          <w:sz w:val="20"/>
          <w:szCs w:val="20"/>
          <w:color w:val="auto"/>
        </w:rPr>
      </w:pPr>
      <w:r>
        <w:rPr>
          <w:rFonts w:ascii="Arial" w:cs="Arial" w:eastAsia="Arial" w:hAnsi="Arial"/>
          <w:sz w:val="16"/>
          <w:szCs w:val="16"/>
          <w:color w:val="auto"/>
        </w:rPr>
        <w:t>At June 30, 2015, we had $1.7 billion outstanding under these facilities. In the event we are unable to renew, replace or extend the revolving period of one or more of these advance funding facilities, monthly amortization of the outstanding balance must begin at the end of the respective 364-day revolving period. Similarly, all of our master repurchase and participation agreements for financing new loan originations have 364-day terms, and facilities with a total borrowing capacity of $397.5 million mature in 2015 with the remainder maturing in 2016. At June 30, 2015, we had $314.8 million outstanding under these financing arrangements. We currently expect that we will be able to renew, replace or extend all of these debt agreements consistent with our historical experience. We anticipate that as we renew, replace or extend our various facilities throughout 2015, we may incur increased ongoing interest costs.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April 16, 2015, we negotiated an increase in the capacity of an existing warehouse line from $50.0 million to $100.0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April 16, 2015, we agreed to a reduction of $37.5 million in the uncommitted borrowing capacity under one of our existing warehouse lines.</w:t>
      </w:r>
    </w:p>
    <w:p>
      <w:pPr>
        <w:spacing w:after="0" w:line="20" w:lineRule="exact"/>
        <w:rPr>
          <w:rFonts w:ascii="Arial" w:cs="Arial" w:eastAsia="Arial" w:hAnsi="Arial"/>
          <w:sz w:val="17"/>
          <w:szCs w:val="17"/>
          <w:color w:val="auto"/>
        </w:rPr>
      </w:pPr>
    </w:p>
    <w:p>
      <w:pPr>
        <w:ind w:left="660" w:right="14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June 10, 2015 and June 26, 2015, we executed a new $450.0 million servicing advance financing facility with $225.0 million of revolving notes and $225.0 million of term notes to replace an existing $400.0 million facility.</w:t>
      </w:r>
    </w:p>
    <w:p>
      <w:pPr>
        <w:ind w:left="660" w:right="4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July 1, 2015, we canceled the single Ocwen Master Advance Receivables Trust Series 2014-VF4 note and issued four new notes that are rated by a credit rating agency, provide the same combined borrowing capacity as the canceled note and limit the weighted average margin over 1-Month LIBOR on the new notes to 175 basis points.</w:t>
      </w:r>
    </w:p>
    <w:p>
      <w:pPr>
        <w:spacing w:after="0" w:line="8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Many aspects of our liquidity forecast process require the use of judgment and estimates on the part of management and include factors that may be beyond our control. Additionally our actual results could differ materially from our estimates. If our results fall below our expectations, we may take additional actions that would be outside the normal course of our operations to generate additional liquidity. These actions may include, but are not limited to:</w:t>
      </w:r>
    </w:p>
    <w:p>
      <w:pPr>
        <w:ind w:right="100" w:firstLine="8"/>
        <w:spacing w:after="0" w:line="253"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reducing our ongoing operating expenses, including employee headcount, (2) raising additional capital by issuing debt or equity, or (3) selling certain assets, operations or subsidiaries. Challenges to our liquidity position could have a material adverse effect on our operating results and financial condition. In 2015, we engaged financial and legal advisors to assist us in evaluating potential adjustments to our capital structure, as appropriate and in exploring our strategic options. For the six months ended June 30, 2015, we incurred approximately $24.2 million of professional services expenses in connection with these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Rating Agency</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Short-term</w:t>
            </w:r>
          </w:p>
        </w:tc>
        <w:tc>
          <w:tcPr>
            <w:tcW w:w="168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Long-term</w:t>
            </w:r>
          </w:p>
        </w:tc>
        <w:tc>
          <w:tcPr>
            <w:tcW w:w="4240" w:type="dxa"/>
            <w:vAlign w:val="bottom"/>
            <w:gridSpan w:val="2"/>
          </w:tcPr>
          <w:p>
            <w:pPr>
              <w:ind w:left="300"/>
              <w:spacing w:after="0"/>
              <w:rPr>
                <w:sz w:val="20"/>
                <w:szCs w:val="20"/>
                <w:color w:val="auto"/>
              </w:rPr>
            </w:pPr>
            <w:r>
              <w:rPr>
                <w:rFonts w:ascii="Arial" w:cs="Arial" w:eastAsia="Arial" w:hAnsi="Arial"/>
                <w:sz w:val="18"/>
                <w:szCs w:val="18"/>
                <w:b w:val="1"/>
                <w:bCs w:val="1"/>
                <w:color w:val="auto"/>
                <w:w w:val="93"/>
              </w:rPr>
              <w:t>Senior Unsecured Notes Review Status / Outlook</w:t>
            </w: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Moody’s</w:t>
            </w:r>
          </w:p>
        </w:tc>
        <w:tc>
          <w:tcPr>
            <w:tcW w:w="182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B2</w:t>
            </w:r>
          </w:p>
        </w:tc>
        <w:tc>
          <w:tcPr>
            <w:tcW w:w="1900" w:type="dxa"/>
            <w:vAlign w:val="bottom"/>
            <w:tcBorders>
              <w:bottom w:val="single" w:sz="8" w:color="EAF9E8"/>
            </w:tcBorders>
            <w:shd w:val="clear" w:color="auto" w:fill="EAF9E8"/>
          </w:tcPr>
          <w:p>
            <w:pPr>
              <w:jc w:val="center"/>
              <w:ind w:left="470"/>
              <w:spacing w:after="0"/>
              <w:rPr>
                <w:sz w:val="20"/>
                <w:szCs w:val="20"/>
                <w:color w:val="auto"/>
              </w:rPr>
            </w:pPr>
            <w:r>
              <w:rPr>
                <w:rFonts w:ascii="Arial" w:cs="Arial" w:eastAsia="Arial" w:hAnsi="Arial"/>
                <w:sz w:val="18"/>
                <w:szCs w:val="18"/>
                <w:color w:val="auto"/>
                <w:w w:val="99"/>
              </w:rPr>
              <w:t>B3</w:t>
            </w:r>
          </w:p>
        </w:tc>
        <w:tc>
          <w:tcPr>
            <w:tcW w:w="2340" w:type="dxa"/>
            <w:vAlign w:val="bottom"/>
            <w:tcBorders>
              <w:bottom w:val="single" w:sz="8" w:color="EAF9E8"/>
            </w:tcBorders>
            <w:shd w:val="clear" w:color="auto" w:fill="EAF9E8"/>
          </w:tcPr>
          <w:p>
            <w:pPr>
              <w:jc w:val="center"/>
              <w:ind w:left="90"/>
              <w:spacing w:after="0"/>
              <w:rPr>
                <w:sz w:val="20"/>
                <w:szCs w:val="20"/>
                <w:color w:val="auto"/>
              </w:rPr>
            </w:pPr>
            <w:r>
              <w:rPr>
                <w:rFonts w:ascii="Arial" w:cs="Arial" w:eastAsia="Arial" w:hAnsi="Arial"/>
                <w:sz w:val="18"/>
                <w:szCs w:val="18"/>
                <w:color w:val="auto"/>
                <w:w w:val="86"/>
              </w:rPr>
              <w:t>Stable</w:t>
            </w:r>
          </w:p>
        </w:tc>
        <w:tc>
          <w:tcPr>
            <w:tcW w:w="1820" w:type="dxa"/>
            <w:vAlign w:val="bottom"/>
            <w:tcBorders>
              <w:bottom w:val="single" w:sz="8" w:color="EAF9E8"/>
            </w:tcBorders>
            <w:shd w:val="clear" w:color="auto" w:fill="EAF9E8"/>
          </w:tcPr>
          <w:p>
            <w:pPr>
              <w:jc w:val="center"/>
              <w:ind w:right="30"/>
              <w:spacing w:after="0"/>
              <w:rPr>
                <w:sz w:val="20"/>
                <w:szCs w:val="20"/>
                <w:color w:val="auto"/>
              </w:rPr>
            </w:pPr>
            <w:r>
              <w:rPr>
                <w:rFonts w:ascii="Arial" w:cs="Arial" w:eastAsia="Arial" w:hAnsi="Arial"/>
                <w:sz w:val="18"/>
                <w:szCs w:val="18"/>
                <w:color w:val="auto"/>
                <w:w w:val="86"/>
              </w:rPr>
              <w:t>June 3, 2015</w:t>
            </w: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S&amp;P</w:t>
            </w: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79"/>
              </w:rPr>
              <w:t>na</w:t>
            </w:r>
          </w:p>
        </w:tc>
        <w:tc>
          <w:tcPr>
            <w:tcW w:w="1680" w:type="dxa"/>
            <w:vAlign w:val="bottom"/>
          </w:tcPr>
          <w:p>
            <w:pPr>
              <w:jc w:val="center"/>
              <w:ind w:left="150"/>
              <w:spacing w:after="0"/>
              <w:rPr>
                <w:sz w:val="20"/>
                <w:szCs w:val="20"/>
                <w:color w:val="auto"/>
              </w:rPr>
            </w:pPr>
            <w:r>
              <w:rPr>
                <w:rFonts w:ascii="Arial" w:cs="Arial" w:eastAsia="Arial" w:hAnsi="Arial"/>
                <w:sz w:val="18"/>
                <w:szCs w:val="18"/>
                <w:color w:val="auto"/>
                <w:w w:val="99"/>
              </w:rPr>
              <w:t>B</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2"/>
              </w:rPr>
              <w:t>CCC+</w:t>
            </w:r>
          </w:p>
        </w:tc>
        <w:tc>
          <w:tcPr>
            <w:tcW w:w="2340" w:type="dxa"/>
            <w:vAlign w:val="bottom"/>
          </w:tcPr>
          <w:p>
            <w:pPr>
              <w:jc w:val="center"/>
              <w:ind w:left="90"/>
              <w:spacing w:after="0"/>
              <w:rPr>
                <w:sz w:val="20"/>
                <w:szCs w:val="20"/>
                <w:color w:val="auto"/>
              </w:rPr>
            </w:pPr>
            <w:r>
              <w:rPr>
                <w:rFonts w:ascii="Arial" w:cs="Arial" w:eastAsia="Arial" w:hAnsi="Arial"/>
                <w:sz w:val="18"/>
                <w:szCs w:val="18"/>
                <w:color w:val="auto"/>
                <w:w w:val="91"/>
              </w:rPr>
              <w:t>Credit Watch Negative</w:t>
            </w: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95"/>
              </w:rPr>
              <w:t>April 21, 2015</w:t>
            </w:r>
          </w:p>
        </w:tc>
      </w:tr>
      <w:tr>
        <w:trPr>
          <w:trHeight w:val="27"/>
        </w:trPr>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1840" w:type="dxa"/>
            <w:vAlign w:val="bottom"/>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1820" w:type="dxa"/>
            <w:vAlign w:val="bottom"/>
            <w:shd w:val="clear" w:color="auto" w:fill="EAF9E8"/>
          </w:tcPr>
          <w:p>
            <w:pPr>
              <w:jc w:val="center"/>
              <w:ind w:right="50"/>
              <w:spacing w:after="0"/>
              <w:rPr>
                <w:sz w:val="20"/>
                <w:szCs w:val="20"/>
                <w:color w:val="auto"/>
              </w:rPr>
            </w:pPr>
            <w:r>
              <w:rPr>
                <w:rFonts w:ascii="Arial" w:cs="Arial" w:eastAsia="Arial" w:hAnsi="Arial"/>
                <w:sz w:val="18"/>
                <w:szCs w:val="18"/>
                <w:color w:val="auto"/>
                <w:w w:val="99"/>
              </w:rPr>
              <w:t>B</w:t>
            </w:r>
          </w:p>
        </w:tc>
        <w:tc>
          <w:tcPr>
            <w:tcW w:w="1680" w:type="dxa"/>
            <w:vAlign w:val="bottom"/>
            <w:shd w:val="clear" w:color="auto" w:fill="EAF9E8"/>
          </w:tcPr>
          <w:p>
            <w:pPr>
              <w:jc w:val="center"/>
              <w:ind w:left="170"/>
              <w:spacing w:after="0"/>
              <w:rPr>
                <w:sz w:val="20"/>
                <w:szCs w:val="20"/>
                <w:color w:val="auto"/>
              </w:rPr>
            </w:pPr>
            <w:r>
              <w:rPr>
                <w:rFonts w:ascii="Arial" w:cs="Arial" w:eastAsia="Arial" w:hAnsi="Arial"/>
                <w:sz w:val="18"/>
                <w:szCs w:val="18"/>
                <w:color w:val="auto"/>
                <w:w w:val="99"/>
              </w:rPr>
              <w:t>B-</w:t>
            </w:r>
          </w:p>
        </w:tc>
        <w:tc>
          <w:tcPr>
            <w:tcW w:w="1900" w:type="dxa"/>
            <w:vAlign w:val="bottom"/>
            <w:shd w:val="clear" w:color="auto" w:fill="EAF9E8"/>
          </w:tcPr>
          <w:p>
            <w:pPr>
              <w:jc w:val="center"/>
              <w:ind w:left="450"/>
              <w:spacing w:after="0"/>
              <w:rPr>
                <w:sz w:val="20"/>
                <w:szCs w:val="20"/>
                <w:color w:val="auto"/>
              </w:rPr>
            </w:pPr>
            <w:r>
              <w:rPr>
                <w:rFonts w:ascii="Arial" w:cs="Arial" w:eastAsia="Arial" w:hAnsi="Arial"/>
                <w:sz w:val="18"/>
                <w:szCs w:val="18"/>
                <w:color w:val="auto"/>
                <w:w w:val="92"/>
              </w:rPr>
              <w:t>CC</w:t>
            </w:r>
          </w:p>
        </w:tc>
        <w:tc>
          <w:tcPr>
            <w:tcW w:w="2340" w:type="dxa"/>
            <w:vAlign w:val="bottom"/>
            <w:shd w:val="clear" w:color="auto" w:fill="EAF9E8"/>
          </w:tcPr>
          <w:p>
            <w:pPr>
              <w:jc w:val="center"/>
              <w:ind w:left="90"/>
              <w:spacing w:after="0"/>
              <w:rPr>
                <w:sz w:val="20"/>
                <w:szCs w:val="20"/>
                <w:color w:val="auto"/>
              </w:rPr>
            </w:pPr>
            <w:r>
              <w:rPr>
                <w:rFonts w:ascii="Arial" w:cs="Arial" w:eastAsia="Arial" w:hAnsi="Arial"/>
                <w:sz w:val="18"/>
                <w:szCs w:val="18"/>
                <w:color w:val="auto"/>
                <w:w w:val="86"/>
              </w:rPr>
              <w:t>Stable</w:t>
            </w:r>
          </w:p>
        </w:tc>
        <w:tc>
          <w:tcPr>
            <w:tcW w:w="1820" w:type="dxa"/>
            <w:vAlign w:val="bottom"/>
            <w:shd w:val="clear" w:color="auto" w:fill="EAF9E8"/>
          </w:tcPr>
          <w:p>
            <w:pPr>
              <w:jc w:val="center"/>
              <w:ind w:right="30"/>
              <w:spacing w:after="0"/>
              <w:rPr>
                <w:sz w:val="20"/>
                <w:szCs w:val="20"/>
                <w:color w:val="auto"/>
              </w:rPr>
            </w:pPr>
            <w:r>
              <w:rPr>
                <w:rFonts w:ascii="Arial" w:cs="Arial" w:eastAsia="Arial" w:hAnsi="Arial"/>
                <w:sz w:val="18"/>
                <w:szCs w:val="18"/>
                <w:color w:val="auto"/>
                <w:w w:val="89"/>
              </w:rPr>
              <w:t>June 24, 2015</w:t>
            </w:r>
          </w:p>
        </w:tc>
      </w:tr>
      <w:tr>
        <w:trPr>
          <w:trHeight w:val="27"/>
        </w:trPr>
        <w:tc>
          <w:tcPr>
            <w:tcW w:w="18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900" w:type="dxa"/>
            <w:vAlign w:val="bottom"/>
            <w:shd w:val="clear" w:color="auto" w:fill="EAF9E8"/>
          </w:tcPr>
          <w:p>
            <w:pPr>
              <w:spacing w:after="0"/>
              <w:rPr>
                <w:sz w:val="2"/>
                <w:szCs w:val="2"/>
                <w:color w:val="auto"/>
              </w:rPr>
            </w:pPr>
          </w:p>
        </w:tc>
        <w:tc>
          <w:tcPr>
            <w:tcW w:w="23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Moody’s announced an upgrade of our corporate family, senior secured and senior unsecured credit ratings on June 3, 2015 and changed its outlook for all of these ratings from negative to stable. On April 21, 2015, S&amp;P placed our credit ratings on CreditWatch with negative implications. On June 24, 2015, Fitch affirmed our credit ratings and revised its outlook from negative to stable. It is possible that additional actions by credit rating agencies could have a material adverse impact on our liquidity and funding position, including materially changing the terms on which we may be able to borrow money.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operating cash flow is primarily impacted by the receipt of servicing fees, changes in our servicing advance balances, the level of new loan production and the timing of sales and securitizations of forward mortgage loans. To the extent we sell MSRs related to delinquent loans, we accelerate the recovery of the related advances. We also receive any outstanding deferred servicing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Cash flows for the six months ended June 30, 2015</w:t>
      </w:r>
    </w:p>
    <w:p>
      <w:pPr>
        <w:spacing w:after="0" w:line="11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operating activities provided $535.0 million of cash largely due to net income adjusted for MSR amortization and valuation-related losses and other non-cash items, $383.0 million of net collections of servicing advances and $202.6 million of net proceeds from sales and collections of loans held for sale.</w:t>
      </w:r>
    </w:p>
    <w:p>
      <w:pPr>
        <w:spacing w:after="0" w:line="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investing activities provided $43.9 million of cash. Cash inflows include the receipt of $388.9 million of net proceeds from the sale of Agency MSRs, $128.8 million of proceeds from the sale of advances and $63.9 million of collections on reverse mortgages. Investing activities include cash outflows in connection with our reverse mortgage originations of $530.4 million.</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used $388.3 million of cash. Cash outflows were primarily comprised of $349.1 million of net repayments on match funded liabilities from net advance recoveries, $341.1 million of repayments on the SSTL, including $334.6 million of prepayments in connection with MSR sales, and a $113.7 million net reduction in borrowings under mortgage warehouse facilities used to fund originated forward loans, which declined during the period. Cash outflows for the six months ended June 30, 2015 also include $18.6 million of costs incurred in connection with amendments to the SSTL. These cash outflows were offset in large part by $532.9 million received in connection with our reverse mortgage securitizations, which are accounted for as secured financings.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2014</w:t>
      </w:r>
    </w:p>
    <w:p>
      <w:pPr>
        <w:spacing w:after="0" w:line="11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operating activities provided $210.0 million of cash largely due to net income, adjusted for MSR amortization and valuation-related losses and other non-cash items, and $123.3 million of net collections of servicing advances. The cash inflows were partially offset by $79.2 million of net originations and purchases of loans held for sale and the net settlement paid in May 2014 in connection with the Ocwen National Mortgage Settlement.</w:t>
      </w:r>
    </w:p>
    <w:p>
      <w:pPr>
        <w:spacing w:after="0" w:line="5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investing activities used $542.2 million of cash. Investing activities include cash outflows in connection with our reverse mortgage originations of $357.1 million. In addition, we paid $216.7 million in connection with asset and business acquisitions completed during the six months ended June 30, 2014. Cash inflows include $28.6 million of collections on reverse mortgages.</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financing activities provided $413.1 million of cash. Cash provided by our financing activities includes $381.6 million in connection with our reverse mortgage securitizations accounted for as secured financings. Financing activities also include $343.8 million of cash received in connection with the issuance of $350.0 million of Senior Unsecured Notes in May 2014, net of the payment of $6.2 million of debt issuance costs. In addition, we received $123.6 million of proceeds from the OASIS transaction involving the sale of Freddie Mac MSRs and $81.8 million of proceeds from the sale of advances to NRZ acquired in connection with the Ginnie Mae EBO Transaction, both of which were accounted for as a financing. These cash inflows were partially offset by a paydown of match funded liabilities using a portion of the proceeds from the Senior Unsecured Notes and a net reduction in borrowings under mortgage warehouse facilities used to fund originated forward loans that declined during the period. Also, we completed the repurchase of 2,663,334 shares of common stock under our stock repurchase program, paying $94.6 million in connection with these repurchases.</w:t>
      </w:r>
    </w:p>
    <w:p>
      <w:pPr>
        <w:spacing w:after="0" w:line="67"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180" w:firstLine="324"/>
        <w:spacing w:after="0" w:line="30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June 30, 2015, such contractual obligations were primarily comprised of secured and unsecured borrowings, interest payments, operating leases and commitments to originate or purchase loans. Other than the renewal of advance funding facilities and other secured borrowings and the prepayment of the SSTL from proceeds of MSR sales, there were no significant changes to our contractual obligations during the six months ended June 30, 2015.</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13 – Derivative Financial Instruments and Hedging Activities to the unaudited Consolidated Financial Statements for additional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right="420" w:firstLine="324"/>
        <w:spacing w:after="0" w:line="259"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 The holders of the debt of these SPEs can look only to the assets of the SPEs for satisfaction of the debt and have no recourse against Ocwen. See Note 2 – Securitizations and Variable Interest Entities to the unaudited Consolidated Financial Statements for additional information.</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8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See Note 2 – Securitizations and Variable Interest Entities, Note 12 – Other Liabilities and Note 20 – Contingencies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 (Dollars in thousands, except per share amounts and unless otherwise indicated)</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 for the year ended December 31, 2014 in Note 1B to the Consolidated Financial Statements and in Management’s Discussion and Analysis of Financial Condition and Results of Operations under “Critical Accounting Policies and Estimates.”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and carrying value of the non-Agency MSRs for which the fair value election was made was $195.3 billion and $787.1 million, respectively.</w:t>
      </w:r>
    </w:p>
    <w:p>
      <w:pPr>
        <w:spacing w:after="0" w:line="6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During the first quarter of 2015, we recognized a $17.8 million impairment charge on our government-insured MSRs, as the fair value for this stratum was less than its carrying value. This impairment was primarily due to the FHA reducing the mortgage insurance premium rate by 50 basis points during the quarter, which created a significantly lower interest rate for existing FHA borrowers and in turn, generated higher projected prepayment speed and shorter asset life inputs used to value these MSRs. During the second quarter of 2015, the fair value of this stratum increased due to higher interest rates and we reversed $16.2 million of the valuation allowance. The carrying value of this stratum at June 30, 2015 was $143.7 million, net of the valuation allowance of $1.6 million. The impairment charge is recognized in Servicing and origination expense in the unaudited Consolidated Statements of Operations.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692"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inputs at the dates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2015</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2014</w:t>
            </w:r>
          </w:p>
        </w:tc>
      </w:tr>
      <w:tr>
        <w:trPr>
          <w:trHeight w:val="27"/>
        </w:trPr>
        <w:tc>
          <w:tcPr>
            <w:tcW w:w="6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352,398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488,612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2,097,192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1,550,141</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34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814,450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93,901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MSRs- non recurring basis (1)</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143,664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34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7,336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6,632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7,335</w:t>
            </w:r>
          </w:p>
        </w:tc>
      </w:tr>
      <w:tr>
        <w:trPr>
          <w:trHeight w:val="27"/>
        </w:trPr>
        <w:tc>
          <w:tcPr>
            <w:tcW w:w="6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Assets at fair value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3,423,197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2,146,621</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2,569,217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2,058,693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spacing w:after="0"/>
              <w:rPr>
                <w:sz w:val="21"/>
                <w:szCs w:val="21"/>
                <w:color w:val="auto"/>
              </w:rPr>
            </w:pP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2,854</w:t>
            </w:r>
          </w:p>
        </w:tc>
      </w:tr>
      <w:tr>
        <w:trPr>
          <w:trHeight w:val="27"/>
        </w:trPr>
        <w:tc>
          <w:tcPr>
            <w:tcW w:w="68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2,569,217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2,061,547</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3,139,435</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1,739,436</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2,569,217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2,058,693</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left="340" w:right="2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balance at June 30, 2015 represents our impaired government-insured stratum of amortization method MSRs, which is measured at fair value on a non-recurring basis. The carrying value of this stratum is net of a valuation allowance of $1.6 million.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Assets at fair value using Level 3 inputs increased during the six months ended June 30, 2015 primarily due to our election on January 1, 2015 to account for a newly-created class of non-Agency MSRs at fair value. Reverse mortgage originations also contributed to the increase in Level 3 assets at fair value.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offsetting changes in the value of the related secured financing.</w:t>
      </w:r>
    </w:p>
    <w:p>
      <w:pPr>
        <w:spacing w:after="0" w:line="85" w:lineRule="exact"/>
        <w:rPr>
          <w:sz w:val="20"/>
          <w:szCs w:val="20"/>
          <w:color w:val="auto"/>
        </w:rPr>
      </w:pPr>
    </w:p>
    <w:p>
      <w:pPr>
        <w:ind w:left="60" w:right="60" w:firstLine="324"/>
        <w:spacing w:after="0" w:line="308" w:lineRule="auto"/>
        <w:rPr>
          <w:sz w:val="20"/>
          <w:szCs w:val="20"/>
          <w:color w:val="auto"/>
        </w:rPr>
      </w:pPr>
      <w:r>
        <w:rPr>
          <w:rFonts w:ascii="Arial" w:cs="Arial" w:eastAsia="Arial" w:hAnsi="Arial"/>
          <w:sz w:val="17"/>
          <w:szCs w:val="17"/>
          <w:color w:val="auto"/>
        </w:rPr>
        <w:t>Refer to Note 3 – Fair Value to the unaudited Consolidated Financial Statements for descriptions of valuation methodologies used to measure significant assets and liabilities at fair value and details of the valuation models, key inputs to those models, and significant assumptions utilized.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Listed below are new accounting pronouncements that we adopted on January 1, 2015. None of these pronouncements had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Investments—Equity Method and Joint Ventures: Accounting for Investments in Qualified Affordable Housing Projects (ASU 2014-01)</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Receivables—Troubled Debt Restructurings by Creditors: Reclassification of Residential Real Estate Collateralized Consumer Mortgage Loans upon Foreclosure (ASU 2014-04)</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Presentation of Financial Statements and Property, Plant, and Equipment: Reporting Discontinued Operations and Disclosures of Disposals of Components of an Entity (ASU 2014-08)</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Transfers and Servicing: Repurchase-to-Maturity Transactions, Repurchase Financings and Disclosures (ASU 2014-11)</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Compensation—Stock Compensation: Accounting for Share-Based Payments When the Terms of an Award Provide That a Performance Target Could Be Achieved after the Requisite Service Period (ASU 2014-12)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88" w:right="239" w:bottom="1440" w:gutter="0" w:footer="0" w:header="0"/>
        </w:sectPr>
      </w:pPr>
    </w:p>
    <w:bookmarkStart w:id="73" w:name="page74"/>
    <w:bookmarkEnd w:id="73"/>
    <w:p>
      <w:pPr>
        <w:ind w:left="660" w:right="4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Receivables—Troubled Debt Restructurings by Creditors: Classification of Certain Government-Guaranteed Mortgage Loans upon Foreclosure (ASU 2014-14)</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evaluating the impact of recently issued accounting standards not yet adopted that are not effective for us until on or after January 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that our adoption of these standards will have a material impact on our consolidated financial statements.</w:t>
      </w:r>
    </w:p>
    <w:p>
      <w:pPr>
        <w:spacing w:after="0" w:line="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generally range from 15 to 60 days; and our holding period of the mortgage loan from funding to sale is typically less than 30 days.</w:t>
      </w:r>
    </w:p>
    <w:p>
      <w:pPr>
        <w:spacing w:after="0" w:line="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elected to account for two classes of MSRs at fair value. The first is a class of Agency MSRs originated on or before December 31, 2012 for which we hedged the interest rate risk because the mortgage notes underlying the MSRs permit the borrowers to prepay the loans. Effective April 1, 2013, we modified our strategy for managing the risks of the underlying loan portfolio and closed out the remaining economic hedge positions associated with this class of fair value MSRs. We terminated these hedges because we determined that they were ineffective for large movements in interest rates and only assured losses in substantial increasing-rate environments. On January 1, 2015, we elected fair value for a newly created class of non-Agency MSRs, which were previously accounted for using the amortization method.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June 30, 2015 and December 31, 2014. We use certain assumptions to estimate the fair value of these instruments. See Note 3 – Fair Value to the unaudited Consolidated Financial Statements for additional information regarding fair value of financial instruments.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Carrying Value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 Value</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87,382</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87,382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75,101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75,101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276,581</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276,581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75,817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87,492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 reverse mortgages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2,097,192</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2,097,192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collateral and 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124,298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97,029</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2,661,270</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2,661,270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2,210,883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2,210,883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1,741,122</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1,741,122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2,090,247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2,743,670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2,731,023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2,248,341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1,290,431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1,290,848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1,733,691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1,658,699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327,250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6,125,223</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6,090,243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6,432,579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6,318,850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6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Notional</w:t>
            </w:r>
          </w:p>
        </w:tc>
        <w:tc>
          <w:tcPr>
            <w:tcW w:w="500" w:type="dxa"/>
            <w:vAlign w:val="bottom"/>
          </w:tcPr>
          <w:p>
            <w:pPr>
              <w:spacing w:after="0"/>
              <w:rPr>
                <w:sz w:val="18"/>
                <w:szCs w:val="18"/>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Notional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500" w:type="dxa"/>
            <w:vAlign w:val="bottom"/>
          </w:tcPr>
          <w:p>
            <w:pPr>
              <w:spacing w:after="0"/>
              <w:rPr>
                <w:sz w:val="20"/>
                <w:szCs w:val="20"/>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1,756,000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1,729,000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IRLCs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350,070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239,406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6,065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649,213</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703,725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Derivatives, net</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3,778</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5620" w:hanging="5612"/>
        <w:spacing w:after="0" w:line="449" w:lineRule="auto"/>
        <w:tabs>
          <w:tab w:leader="none" w:pos="4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 73</w:t>
      </w:r>
    </w:p>
    <w:p>
      <w:pPr>
        <w:sectPr>
          <w:pgSz w:w="11900" w:h="16838" w:orient="portrait"/>
          <w:cols w:equalWidth="0" w:num="1">
            <w:col w:w="11420"/>
          </w:cols>
          <w:pgMar w:left="240" w:top="68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June 30, 2015, given hypothetical instantaneous parallel shifts in the yield curve. We used June 30, 2015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(4,743)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4,466</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(277)</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14,344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14,120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(14,184)</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(14,461)</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Based on June 30, 2015 balances, if interest rates were to increase by 1% on our variable rate debt and interest earning cash and float balances, we estimate a net positive impact of $21.1 million resulting from an increase of $41.9 million in annual interest income and an increase of $20.9 million in annual interest expense.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June 30, 2015.</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June 30, 2015,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2015 that has materially affected, or is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20 – Contingencies to the unaudited Consolidated Financial Statements. That information is incorporated into this item by reference.</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the principal risks and uncertainties that management believes affect or could affect us under Part I to our Annual Report on Form 10-K for</w:t>
      </w:r>
    </w:p>
    <w:p>
      <w:pPr>
        <w:sectPr>
          <w:pgSz w:w="11900" w:h="16838" w:orient="portrait"/>
          <w:cols w:equalWidth="0" w:num="1">
            <w:col w:w="11420"/>
          </w:cols>
          <w:pgMar w:left="240" w:top="6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88" w:right="239" w:bottom="1440" w:gutter="0" w:footer="0" w:header="0"/>
          <w:type w:val="continuous"/>
        </w:sectPr>
      </w:pPr>
    </w:p>
    <w:bookmarkStart w:id="76" w:name="page77"/>
    <w:bookmarkEnd w:id="76"/>
    <w:p>
      <w:pPr>
        <w:ind w:right="60"/>
        <w:spacing w:after="0" w:line="257" w:lineRule="auto"/>
        <w:rPr>
          <w:sz w:val="20"/>
          <w:szCs w:val="20"/>
          <w:color w:val="auto"/>
        </w:rPr>
      </w:pPr>
      <w:r>
        <w:rPr>
          <w:rFonts w:ascii="Arial" w:cs="Arial" w:eastAsia="Arial" w:hAnsi="Arial"/>
          <w:sz w:val="18"/>
          <w:szCs w:val="18"/>
          <w:color w:val="auto"/>
        </w:rPr>
        <w:t>the year ended December 31, 2014. The risks and uncertainties described therein are not the only ones facing us. You should carefully read and consider the risks and uncertainties described therein together with all of the other information included or incorporated by reference in such Annual Report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ind w:left="840"/>
              <w:spacing w:after="0"/>
              <w:rPr>
                <w:sz w:val="20"/>
                <w:szCs w:val="20"/>
                <w:color w:val="auto"/>
              </w:rPr>
            </w:pPr>
            <w:r>
              <w:rPr>
                <w:rFonts w:ascii="Arial" w:cs="Arial" w:eastAsia="Arial" w:hAnsi="Arial"/>
                <w:sz w:val="18"/>
                <w:szCs w:val="18"/>
                <w:color w:val="auto"/>
              </w:rPr>
              <w:t>3.1</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3.2</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3.3</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3.4</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3.5</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Correction (3)</w:t>
            </w:r>
          </w:p>
        </w:tc>
      </w:tr>
      <w:tr>
        <w:trPr>
          <w:trHeight w:val="256"/>
        </w:trPr>
        <w:tc>
          <w:tcPr>
            <w:tcW w:w="1760" w:type="dxa"/>
            <w:vAlign w:val="bottom"/>
          </w:tcPr>
          <w:p>
            <w:pPr>
              <w:ind w:left="840"/>
              <w:spacing w:after="0"/>
              <w:rPr>
                <w:sz w:val="20"/>
                <w:szCs w:val="20"/>
                <w:color w:val="auto"/>
              </w:rPr>
            </w:pPr>
            <w:r>
              <w:rPr>
                <w:rFonts w:ascii="Arial" w:cs="Arial" w:eastAsia="Arial" w:hAnsi="Arial"/>
                <w:sz w:val="18"/>
                <w:szCs w:val="18"/>
                <w:color w:val="auto"/>
              </w:rPr>
              <w:t>3.6</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3.7</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11.1</w:t>
            </w:r>
          </w:p>
        </w:tc>
        <w:tc>
          <w:tcPr>
            <w:tcW w:w="9660" w:type="dxa"/>
            <w:vAlign w:val="bottom"/>
          </w:tcPr>
          <w:p>
            <w:pPr>
              <w:ind w:left="22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31.1</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31.2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760" w:type="dxa"/>
            <w:vAlign w:val="bottom"/>
          </w:tcPr>
          <w:p>
            <w:pPr>
              <w:ind w:left="84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56"/>
        </w:trPr>
        <w:tc>
          <w:tcPr>
            <w:tcW w:w="1760" w:type="dxa"/>
            <w:vAlign w:val="bottom"/>
          </w:tcPr>
          <w:p>
            <w:pPr>
              <w:ind w:left="84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right="180" w:hanging="492"/>
        <w:spacing w:after="0" w:line="258"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8"/>
          <w:szCs w:val="18"/>
          <w:color w:val="auto"/>
        </w:rPr>
      </w:pPr>
    </w:p>
    <w:p>
      <w:pPr>
        <w:ind w:left="500" w:right="70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10,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from “Note 15 – Basic and Diluted Earnings per Share” to the unaudited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7" w:name="page78"/>
    <w:bookmarkEnd w:id="7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30,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688"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July 30, 2015</w:t>
            </w:r>
          </w:p>
        </w:tc>
      </w:tr>
    </w:tbl>
    <w:p>
      <w:pPr>
        <w:sectPr>
          <w:pgSz w:w="11900" w:h="16838" w:orient="portrait"/>
          <w:cols w:equalWidth="0" w:num="1">
            <w:col w:w="11420"/>
          </w:cols>
          <w:pgMar w:left="240" w:top="8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July 30, 2015</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lvl w:ilvl="1">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5"/>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2"/>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1)"/>
      <w:numFmt w:val="lowerRoman"/>
      <w:start w:val="7"/>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
      <w:numFmt w:val="bullet"/>
      <w:start w:val="1"/>
    </w:lvl>
  </w:abstractNum>
  <w:abstractNum w:abstractNumId="54">
    <w:nsid w:val="23F9C13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2019-12-29T16:42:50Z</dcterms:created>
  <dcterms:modified xsi:type="dcterms:W3CDTF">2019-12-29T16:42:50Z</dcterms:modified>
</cp:coreProperties>
</file>