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693420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quarterly period ended June 30, 2017</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1-13219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6260" w:type="dxa"/>
            <w:vAlign w:val="bottom"/>
            <w:gridSpan w:val="4"/>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4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West Palm Beach, Florida</w:t>
            </w:r>
          </w:p>
        </w:tc>
        <w:tc>
          <w:tcPr>
            <w:tcW w:w="6260" w:type="dxa"/>
            <w:vAlign w:val="bottom"/>
            <w:gridSpan w:val="4"/>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(561) 682-8000</w:t>
            </w:r>
          </w:p>
        </w:tc>
        <w:tc>
          <w:tcPr>
            <w:tcW w:w="5140" w:type="dxa"/>
            <w:vAlign w:val="bottom"/>
          </w:tcPr>
          <w:p>
            <w:pPr>
              <w:spacing w:after="0"/>
              <w:rPr>
                <w:sz w:val="22"/>
                <w:szCs w:val="22"/>
                <w:color w:val="auto"/>
              </w:rPr>
            </w:pP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33"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68"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w:t>
            </w:r>
          </w:p>
        </w:tc>
        <w:tc>
          <w:tcPr>
            <w:tcW w:w="4200" w:type="dxa"/>
            <w:vAlign w:val="bottom"/>
          </w:tcPr>
          <w:p>
            <w:pPr>
              <w:spacing w:after="0"/>
              <w:rPr>
                <w:sz w:val="20"/>
                <w:szCs w:val="20"/>
                <w:color w:val="auto"/>
              </w:rPr>
            </w:pPr>
          </w:p>
        </w:tc>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x</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o</w:t>
            </w:r>
          </w:p>
        </w:tc>
      </w:tr>
      <w:tr>
        <w:trPr>
          <w:trHeight w:val="270"/>
        </w:trPr>
        <w:tc>
          <w:tcPr>
            <w:tcW w:w="2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63"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right="3200"/>
        <w:spacing w:after="0" w:line="407"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 Number of shares of common stock outstanding as of July 28, 2017: 130,859,058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8"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7"/>
            <w:vMerge w:val="restart"/>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 FINANCIAL INFORMATION</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580" w:type="dxa"/>
            <w:vAlign w:val="bottom"/>
            <w:gridSpan w:val="17"/>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Consolidated Financial Statements</w:t>
              </w:r>
            </w:hyperlink>
          </w:p>
        </w:tc>
        <w:tc>
          <w:tcPr>
            <w:tcW w:w="80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spacing w:after="0"/>
              <w:rPr>
                <w:sz w:val="24"/>
                <w:szCs w:val="24"/>
                <w:color w:val="auto"/>
              </w:rPr>
            </w:pPr>
          </w:p>
        </w:tc>
        <w:tc>
          <w:tcPr>
            <w:tcW w:w="50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Balance Sheets at June 30, 2017 and December 31, 2016</w:t>
              </w:r>
            </w:hyperlink>
          </w:p>
        </w:tc>
        <w:tc>
          <w:tcPr>
            <w:tcW w:w="4460" w:type="dxa"/>
            <w:vAlign w:val="bottom"/>
            <w:gridSpan w:val="6"/>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574"/>
        </w:trPr>
        <w:tc>
          <w:tcPr>
            <w:tcW w:w="1040" w:type="dxa"/>
            <w:vAlign w:val="bottom"/>
          </w:tcPr>
          <w:p>
            <w:pPr>
              <w:spacing w:after="0"/>
              <w:rPr>
                <w:sz w:val="24"/>
                <w:szCs w:val="24"/>
                <w:color w:val="auto"/>
              </w:rPr>
            </w:pPr>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Operations for the Three and Six Months Ended June 30, 2017 and 2016</w:t>
              </w:r>
            </w:hyperlink>
          </w:p>
        </w:tc>
        <w:tc>
          <w:tcPr>
            <w:tcW w:w="80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Comprehensive Income for the Three and Six Months Ended June 30, 2017 and 2016</w:t>
              </w:r>
            </w:hyperlink>
          </w:p>
        </w:tc>
        <w:tc>
          <w:tcPr>
            <w:tcW w:w="80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574"/>
        </w:trPr>
        <w:tc>
          <w:tcPr>
            <w:tcW w:w="1040" w:type="dxa"/>
            <w:vAlign w:val="bottom"/>
          </w:tcPr>
          <w:p>
            <w:pPr>
              <w:spacing w:after="0"/>
              <w:rPr>
                <w:sz w:val="24"/>
                <w:szCs w:val="24"/>
                <w:color w:val="auto"/>
              </w:rPr>
            </w:pPr>
          </w:p>
        </w:tc>
        <w:tc>
          <w:tcPr>
            <w:tcW w:w="70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Consolidated Statements of Changes in Equity for the Six Months Ended June 30, 2017 and 2016</w:t>
              </w:r>
            </w:hyperlink>
          </w:p>
        </w:tc>
        <w:tc>
          <w:tcPr>
            <w:tcW w:w="1140" w:type="dxa"/>
            <w:vAlign w:val="bottom"/>
            <w:tcBorders>
              <w:top w:val="single" w:sz="8" w:color="0000EE"/>
            </w:tcBorders>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574"/>
        </w:trPr>
        <w:tc>
          <w:tcPr>
            <w:tcW w:w="1040" w:type="dxa"/>
            <w:vAlign w:val="bottom"/>
          </w:tcPr>
          <w:p>
            <w:pPr>
              <w:spacing w:after="0"/>
              <w:rPr>
                <w:sz w:val="24"/>
                <w:szCs w:val="24"/>
                <w:color w:val="auto"/>
              </w:rPr>
            </w:pPr>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Consolidated Statements of Cash Flows for the Six Months Ended June 30, 2017 and 2016</w:t>
              </w:r>
            </w:hyperlink>
          </w:p>
        </w:tc>
        <w:tc>
          <w:tcPr>
            <w:tcW w:w="800" w:type="dxa"/>
            <w:vAlign w:val="bottom"/>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574"/>
        </w:trPr>
        <w:tc>
          <w:tcPr>
            <w:tcW w:w="104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Unaudited Consolidated Financial Statements</w:t>
              </w:r>
            </w:hyperlink>
          </w:p>
        </w:tc>
        <w:tc>
          <w:tcPr>
            <w:tcW w:w="2580" w:type="dxa"/>
            <w:vAlign w:val="bottom"/>
            <w:tcBorders>
              <w:top w:val="single" w:sz="8" w:color="0000EE"/>
            </w:tcBorders>
            <w:gridSpan w:val="4"/>
          </w:tcPr>
          <w:p>
            <w:pPr>
              <w:spacing w:after="0"/>
              <w:rPr>
                <w:sz w:val="24"/>
                <w:szCs w:val="24"/>
                <w:color w:val="auto"/>
              </w:rPr>
            </w:pPr>
          </w:p>
        </w:tc>
        <w:tc>
          <w:tcPr>
            <w:tcW w:w="3020" w:type="dxa"/>
            <w:vAlign w:val="bottom"/>
            <w:gridSpan w:val="4"/>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574"/>
        </w:trPr>
        <w:tc>
          <w:tcPr>
            <w:tcW w:w="1040" w:type="dxa"/>
            <w:vAlign w:val="bottom"/>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2.</w:t>
              </w:r>
            </w:hyperlink>
          </w:p>
        </w:tc>
        <w:tc>
          <w:tcPr>
            <w:tcW w:w="6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080" w:type="dxa"/>
            <w:vAlign w:val="bottom"/>
            <w:gridSpan w:val="5"/>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c>
          <w:tcPr>
            <w:tcW w:w="0" w:type="dxa"/>
            <w:vAlign w:val="bottom"/>
          </w:tcPr>
          <w:p>
            <w:pPr>
              <w:spacing w:after="0"/>
              <w:rPr>
                <w:sz w:val="1"/>
                <w:szCs w:val="1"/>
                <w:color w:val="auto"/>
              </w:rPr>
            </w:pPr>
          </w:p>
        </w:tc>
      </w:tr>
      <w:tr>
        <w:trPr>
          <w:trHeight w:val="520"/>
        </w:trPr>
        <w:tc>
          <w:tcPr>
            <w:tcW w:w="1040" w:type="dxa"/>
            <w:vAlign w:val="bottom"/>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3.</w:t>
              </w:r>
            </w:hyperlink>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Quantitative and Qualitative Disclosures about Market Risk</w:t>
              </w:r>
            </w:hyperlink>
          </w:p>
        </w:tc>
        <w:tc>
          <w:tcPr>
            <w:tcW w:w="800" w:type="dxa"/>
            <w:vAlign w:val="bottom"/>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77</w:t>
              </w:r>
            </w:hyperlink>
          </w:p>
        </w:tc>
        <w:tc>
          <w:tcPr>
            <w:tcW w:w="0" w:type="dxa"/>
            <w:vAlign w:val="bottom"/>
          </w:tcPr>
          <w:p>
            <w:pPr>
              <w:spacing w:after="0"/>
              <w:rPr>
                <w:sz w:val="1"/>
                <w:szCs w:val="1"/>
                <w:color w:val="auto"/>
              </w:rPr>
            </w:pPr>
          </w:p>
        </w:tc>
      </w:tr>
      <w:tr>
        <w:trPr>
          <w:trHeight w:val="520"/>
        </w:trPr>
        <w:tc>
          <w:tcPr>
            <w:tcW w:w="1040" w:type="dxa"/>
            <w:vAlign w:val="bottom"/>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4.</w:t>
              </w:r>
            </w:hyperlink>
          </w:p>
        </w:tc>
        <w:tc>
          <w:tcPr>
            <w:tcW w:w="43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Controls and Procedures</w:t>
              </w:r>
            </w:hyperlink>
          </w:p>
        </w:tc>
        <w:tc>
          <w:tcPr>
            <w:tcW w:w="5240" w:type="dxa"/>
            <w:vAlign w:val="bottom"/>
            <w:gridSpan w:val="7"/>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80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580" w:type="dxa"/>
            <w:vAlign w:val="bottom"/>
            <w:gridSpan w:val="17"/>
          </w:tcPr>
          <w:p>
            <w:pPr>
              <w:spacing w:after="0"/>
              <w:rPr>
                <w:rFonts w:ascii="Times New Roman" w:cs="Times New Roman" w:eastAsia="Times New Roman" w:hAnsi="Times New Roman"/>
                <w:sz w:val="18"/>
                <w:szCs w:val="18"/>
                <w:b w:val="1"/>
                <w:bCs w:val="1"/>
                <w:color w:val="0000EE"/>
              </w:rPr>
            </w:pPr>
            <w:hyperlink w:anchor="page82">
              <w:r>
                <w:rPr>
                  <w:rFonts w:ascii="Times New Roman" w:cs="Times New Roman" w:eastAsia="Times New Roman" w:hAnsi="Times New Roman"/>
                  <w:sz w:val="18"/>
                  <w:szCs w:val="18"/>
                  <w:b w:val="1"/>
                  <w:bCs w:val="1"/>
                  <w:color w:val="0000EE"/>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40" w:type="dxa"/>
            <w:vAlign w:val="bottom"/>
            <w:tcBorders>
              <w:top w:val="single" w:sz="8" w:color="0000EE"/>
            </w:tcBorders>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w:t>
              </w:r>
            </w:hyperlink>
          </w:p>
        </w:tc>
        <w:tc>
          <w:tcPr>
            <w:tcW w:w="178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Legal Proceedings</w:t>
              </w:r>
            </w:hyperlink>
          </w:p>
        </w:tc>
        <w:tc>
          <w:tcPr>
            <w:tcW w:w="7760" w:type="dxa"/>
            <w:vAlign w:val="bottom"/>
            <w:gridSpan w:val="11"/>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81</w:t>
              </w:r>
            </w:hyperlink>
          </w:p>
        </w:tc>
        <w:tc>
          <w:tcPr>
            <w:tcW w:w="0" w:type="dxa"/>
            <w:vAlign w:val="bottom"/>
          </w:tcPr>
          <w:p>
            <w:pPr>
              <w:spacing w:after="0"/>
              <w:rPr>
                <w:sz w:val="1"/>
                <w:szCs w:val="1"/>
                <w:color w:val="auto"/>
              </w:rPr>
            </w:pPr>
          </w:p>
        </w:tc>
      </w:tr>
      <w:tr>
        <w:trPr>
          <w:trHeight w:val="520"/>
        </w:trPr>
        <w:tc>
          <w:tcPr>
            <w:tcW w:w="1040" w:type="dxa"/>
            <w:vAlign w:val="bottom"/>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1A.</w:t>
              </w:r>
            </w:hyperlink>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tcPr>
          <w:p>
            <w:pPr>
              <w:spacing w:after="0"/>
              <w:rPr>
                <w:sz w:val="24"/>
                <w:szCs w:val="24"/>
                <w:color w:val="auto"/>
              </w:rPr>
            </w:pPr>
          </w:p>
        </w:tc>
        <w:tc>
          <w:tcPr>
            <w:tcW w:w="8220" w:type="dxa"/>
            <w:vAlign w:val="bottom"/>
            <w:gridSpan w:val="13"/>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81</w:t>
              </w:r>
            </w:hyperlink>
          </w:p>
        </w:tc>
        <w:tc>
          <w:tcPr>
            <w:tcW w:w="0" w:type="dxa"/>
            <w:vAlign w:val="bottom"/>
          </w:tcPr>
          <w:p>
            <w:pPr>
              <w:spacing w:after="0"/>
              <w:rPr>
                <w:sz w:val="1"/>
                <w:szCs w:val="1"/>
                <w:color w:val="auto"/>
              </w:rPr>
            </w:pPr>
          </w:p>
        </w:tc>
      </w:tr>
      <w:tr>
        <w:trPr>
          <w:trHeight w:val="520"/>
        </w:trPr>
        <w:tc>
          <w:tcPr>
            <w:tcW w:w="1040" w:type="dxa"/>
            <w:vAlign w:val="bottom"/>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6.</w:t>
              </w:r>
            </w:hyperlink>
          </w:p>
        </w:tc>
        <w:tc>
          <w:tcPr>
            <w:tcW w:w="9540" w:type="dxa"/>
            <w:vAlign w:val="bottom"/>
            <w:gridSpan w:val="16"/>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Exhibits</w:t>
              </w:r>
            </w:hyperlink>
          </w:p>
        </w:tc>
        <w:tc>
          <w:tcPr>
            <w:tcW w:w="800" w:type="dxa"/>
            <w:vAlign w:val="bottom"/>
          </w:tcPr>
          <w:p>
            <w:pPr>
              <w:jc w:val="right"/>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81</w:t>
              </w:r>
            </w:hyperlink>
          </w:p>
        </w:tc>
        <w:tc>
          <w:tcPr>
            <w:tcW w:w="0" w:type="dxa"/>
            <w:vAlign w:val="bottom"/>
          </w:tcPr>
          <w:p>
            <w:pPr>
              <w:spacing w:after="0"/>
              <w:rPr>
                <w:sz w:val="1"/>
                <w:szCs w:val="1"/>
                <w:color w:val="auto"/>
              </w:rPr>
            </w:pPr>
          </w:p>
        </w:tc>
      </w:tr>
      <w:tr>
        <w:trPr>
          <w:trHeight w:val="561"/>
        </w:trPr>
        <w:tc>
          <w:tcPr>
            <w:tcW w:w="1040" w:type="dxa"/>
            <w:vAlign w:val="bottom"/>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82</w:t>
              </w:r>
            </w:hyperlink>
          </w:p>
        </w:tc>
        <w:tc>
          <w:tcPr>
            <w:tcW w:w="0" w:type="dxa"/>
            <w:vAlign w:val="bottom"/>
          </w:tcPr>
          <w:p>
            <w:pPr>
              <w:spacing w:after="0"/>
              <w:rPr>
                <w:sz w:val="1"/>
                <w:szCs w:val="1"/>
                <w:color w:val="auto"/>
              </w:rPr>
            </w:pPr>
          </w:p>
        </w:tc>
      </w:tr>
      <w:tr>
        <w:trPr>
          <w:trHeight w:val="702"/>
        </w:trPr>
        <w:tc>
          <w:tcPr>
            <w:tcW w:w="1040" w:type="dxa"/>
            <w:vAlign w:val="bottom"/>
          </w:tcPr>
          <w:p>
            <w:pPr>
              <w:spacing w:after="0"/>
              <w:rPr>
                <w:sz w:val="24"/>
                <w:szCs w:val="24"/>
                <w:color w:val="auto"/>
              </w:rPr>
            </w:pPr>
          </w:p>
        </w:tc>
        <w:tc>
          <w:tcPr>
            <w:tcW w:w="5080" w:type="dxa"/>
            <w:vAlign w:val="bottom"/>
            <w:gridSpan w:val="10"/>
          </w:tcPr>
          <w:p>
            <w:pPr>
              <w:ind w:left="458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in “Risk Factors” in this Quarterly Report on Form 10-Q and in Amendment No. 1 to our Annual Report on Form 10-K for the year ended December 31, 2016 and the following:</w:t>
      </w:r>
    </w:p>
    <w:p>
      <w:pPr>
        <w:spacing w:after="0" w:line="81" w:lineRule="exact"/>
        <w:rPr>
          <w:sz w:val="20"/>
          <w:szCs w:val="20"/>
          <w:color w:val="auto"/>
        </w:rPr>
      </w:pPr>
    </w:p>
    <w:p>
      <w:pPr>
        <w:ind w:left="660" w:right="6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as a result of regulatory investigations, litigation, cease and desist orders or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reactions to the announcement of such investigations, litigation, cease and desist orders or settlements by key counterparties, including lenders;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media attention;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regulatory and contractual compliance obligations;</w:t>
      </w:r>
    </w:p>
    <w:p>
      <w:pPr>
        <w:spacing w:after="0" w:line="9"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5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contain and reduce our operating costs, including our ability to successfully execute on our cost improvement initiative;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sell foreclosed properties;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New Residential Investment Corp. (NRZ) for a substantial portion of our advance funding for non-agency mortgage servicing rights;</w:t>
      </w:r>
    </w:p>
    <w:p>
      <w:pPr>
        <w:ind w:left="660" w:right="7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transfer mortgage servicing rights under our July 2017 agreements with NRZ and our ability to maintain our long-term relationship with NRZ under these new arrangements;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our senior managers;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general economic and market conditions, delinquency rates, home prices and disposition timelines on foreclosed properties;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the Government National Mortgage Association (Ginnie Mae), trustees and government sponsored entities (GSEs), regarding loan put-backs, penalties and legal actions;</w:t>
      </w:r>
    </w:p>
    <w:p>
      <w:pPr>
        <w:ind w:left="660" w:right="1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GSEs and Ginnie Mae and maintain our seller/servicer and other statuses with them;</w:t>
      </w:r>
    </w:p>
    <w:p>
      <w:pPr>
        <w:jc w:val="both"/>
        <w:ind w:left="660" w:right="960" w:hanging="328"/>
        <w:spacing w:after="0" w:line="290"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of the Department of Housing and Urban Development or Department of Veterans Affairs ceasing to provide insurance;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684" w:right="279" w:bottom="1440" w:gutter="0" w:footer="0" w:header="0"/>
        </w:sectPr>
      </w:pPr>
    </w:p>
    <w:bookmarkStart w:id="3" w:name="page4"/>
    <w:bookmarkEnd w:id="3"/>
    <w:p>
      <w:pPr>
        <w:ind w:left="660" w:right="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valuations, provisions and anticipated realization on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future gains from future draws on existing loans in our reverse mortgage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adapt and grow our business, including our new business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capital requirements established by regulators or counterparties;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technology systems and our ability to adapt such systems for future operating environments;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internal information technology and other security measures or breach of our privacy protections;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political or economic stability of foreign countries in which we have operations.</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 information on the risks specific to our business is detailed within this report and our other reports and filings with the SEC including Amendment No. 1 to our Annual Report on Form 10-K for the year ended December 31, 2016 and our Quarterly and Current Reports on Form 10-Q and Form 8-K since such date. Forward-looking statements speak only as of the date they were made and we disclaim any obligation to update or revise forward-looking statements whether as a result of new information, future events or otherwise.</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5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251,472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256,549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Mortgage servicing rights ($625,650 and $679,256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975,185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1,042,978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257,882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Match funded assets (related to variable interest entities (VIEs))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1,292,908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1,451,964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($239,490 and $284,632 carried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314,006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4,223,776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3,565,716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265,720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56,409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62,744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($18,037 and $20,007 carried at fair value) ($26,570 and $43,331 related to VIEs)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438,104</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7,932,392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7,655,663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4,061,626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3,433,781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financing liabilities ($441,007 and $477,707 carried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579,031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Match funded liabilities (related to VIEs)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1,108,377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1,280,997</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643,860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678,543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Senior notes,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347,063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346,789</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liabilities ($11 and $1,550 carried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681,239</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7,352,145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7,000,380</w:t>
            </w:r>
          </w:p>
        </w:tc>
      </w:tr>
      <w:tr>
        <w:trPr>
          <w:trHeight w:val="264"/>
        </w:trPr>
        <w:tc>
          <w:tcPr>
            <w:tcW w:w="8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18 and 19)</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Ocwen Financial Corporation (Ocwen) 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8340" w:type="dxa"/>
            <w:vAlign w:val="bottom"/>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Common stock, $.01 par value; 200,000,000 shares authorized; 124,778,548 and 123,988,160 shares issued</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41"/>
        </w:trPr>
        <w:tc>
          <w:tcPr>
            <w:tcW w:w="8340" w:type="dxa"/>
            <w:vAlign w:val="bottom"/>
            <w:tcBorders>
              <w:bottom w:val="single" w:sz="8" w:color="EAF9E8"/>
            </w:tcBorders>
            <w:shd w:val="clear" w:color="auto" w:fill="EAF9E8"/>
          </w:tcPr>
          <w:p>
            <w:pPr>
              <w:ind w:left="540"/>
              <w:spacing w:after="0"/>
              <w:rPr>
                <w:sz w:val="20"/>
                <w:szCs w:val="20"/>
                <w:color w:val="auto"/>
              </w:rPr>
            </w:pPr>
            <w:r>
              <w:rPr>
                <w:rFonts w:ascii="Times New Roman" w:cs="Times New Roman" w:eastAsia="Times New Roman" w:hAnsi="Times New Roman"/>
                <w:sz w:val="18"/>
                <w:szCs w:val="18"/>
                <w:color w:val="auto"/>
              </w:rPr>
              <w:t>and outstanding at June 30, 2017 and December 31, 2016, respectively</w:t>
            </w:r>
          </w:p>
        </w:tc>
        <w:tc>
          <w:tcPr>
            <w:tcW w:w="1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1,240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527,001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48,652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126,167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Total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577,750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652,958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580,247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655,283</w:t>
            </w:r>
          </w:p>
        </w:tc>
      </w:tr>
      <w:tr>
        <w:trPr>
          <w:trHeight w:val="25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7,932,392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7,655,663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2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255,801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307,262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528,303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604,758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28,255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27,857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51,199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43,429</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55,624</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311,300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373,054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633,164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703,811</w:t>
            </w:r>
          </w:p>
        </w:tc>
      </w:tr>
      <w:tr>
        <w:trPr>
          <w:trHeight w:val="264"/>
        </w:trPr>
        <w:tc>
          <w:tcPr>
            <w:tcW w:w="51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194,671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64,516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89,987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132,423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185,679</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192,306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24,254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32,709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51,601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59,578</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45,453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12,697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21,153</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14,835</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280,480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385,018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556,863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713,675</w:t>
            </w:r>
          </w:p>
        </w:tc>
      </w:tr>
      <w:tr>
        <w:trPr>
          <w:trHeight w:val="264"/>
        </w:trPr>
        <w:tc>
          <w:tcPr>
            <w:tcW w:w="51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(81,128)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(165,190)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(197,122)</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mortgage servicing rights, net</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(188,659)</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3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(198,523)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(198,419)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97"/>
        </w:trPr>
        <w:tc>
          <w:tcPr>
            <w:tcW w:w="51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Net loss attributable to Ocwen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(87,378)</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(77,231)</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(198,709)</w:t>
            </w:r>
          </w:p>
        </w:tc>
      </w:tr>
      <w:tr>
        <w:trPr>
          <w:trHeight w:val="257"/>
        </w:trPr>
        <w:tc>
          <w:tcPr>
            <w:tcW w:w="516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3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attributable to Ocwen stockholders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6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2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3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124,582,280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123,893,752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124,300,171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123,993,545</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124,582,280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123,893,752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124,300,171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123,993,545</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COMPREHENSIVE INCOME (LOSS) (Dollars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2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(44,436)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(87,218)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(198,419)</w:t>
            </w:r>
          </w:p>
        </w:tc>
      </w:tr>
      <w:tr>
        <w:trPr>
          <w:trHeight w:val="297"/>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25"/>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losses on cash flow hedges included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net income (1)</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comprehensive income, net of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(198,535)</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CHANGES IN EQUITY FOR THE SIX MONTHS ENDED JUNE 30, 2017 AND 2016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400" w:type="dxa"/>
            <w:vAlign w:val="bottom"/>
            <w:gridSpan w:val="4"/>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740" w:type="dxa"/>
            <w:vAlign w:val="bottom"/>
          </w:tcPr>
          <w:p>
            <w:pPr>
              <w:spacing w:after="0"/>
              <w:rPr>
                <w:sz w:val="6"/>
                <w:szCs w:val="6"/>
                <w:color w:val="auto"/>
              </w:rPr>
            </w:pPr>
          </w:p>
        </w:tc>
        <w:tc>
          <w:tcPr>
            <w:tcW w:w="24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2016</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rPr>
              <w:t>123,988,160</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527,001</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126,167</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655,283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Cumulative effect of adoption of</w:t>
            </w: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No. 2016-09</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790,388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2017</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124,778,548</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529,188</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48,652</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580,247</w:t>
            </w:r>
          </w:p>
        </w:tc>
        <w:tc>
          <w:tcPr>
            <w:tcW w:w="0" w:type="dxa"/>
            <w:vAlign w:val="bottom"/>
          </w:tcPr>
          <w:p>
            <w:pPr>
              <w:spacing w:after="0"/>
              <w:rPr>
                <w:sz w:val="1"/>
                <w:szCs w:val="1"/>
                <w:color w:val="auto"/>
              </w:rPr>
            </w:pPr>
          </w:p>
        </w:tc>
      </w:tr>
      <w:tr>
        <w:trPr>
          <w:trHeight w:val="271"/>
        </w:trPr>
        <w:tc>
          <w:tcPr>
            <w:tcW w:w="274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9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88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2015</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rPr>
              <w:t>124,774,516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526,148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325,929</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854,638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(991,985)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(5,880)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69,805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Times New Roman" w:cs="Times New Roman" w:eastAsia="Times New Roman" w:hAnsi="Times New Roman"/>
                <w:sz w:val="16"/>
                <w:szCs w:val="16"/>
                <w:color w:val="auto"/>
              </w:rPr>
              <w:t>134,618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3,344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3,345</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distribution to non-controlling</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w:t>
            </w: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44"/>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June 30, 2016</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123,986,954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524,053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127,220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2,228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653,152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21,153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Loss on valuation of mortgage servicing rights,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51,959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59,104</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mortgage servicing rights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39,030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sale of mortgage servicing rights,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and unrealized (gains) losses on derivative financial instruments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Provision for bad debts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32,785</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6,498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Net gain on valuation of mortgage loans held for investment and HMBS-related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(14,451)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Origination and purchase of loans held for sale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(2,243,475)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(2,883,124)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collections of loans held for sale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2,217,259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2,789,433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 advances and match funded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215,525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Decrease in receivables and other assets,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87,548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75,208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40,955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9,285</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280,736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172,169</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3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Origination of loans held for investment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(698,473)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(675,665)</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received on loans held for investment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238,838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Purchase of mortgage servicing rights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(12,432)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mortgage servicing rights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 of advances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66,651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automotive dealer financing notes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Collections of automotive dealer financing notes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76,264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8,179</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(376,619)</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3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Repayment of match funded liabilities,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(172,620)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(152,668)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mortgage loan warehouse facilities and other secured borrowings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4,216,466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4,173,609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Repayments of mortgage loan warehouse facilities and other secured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(4,475,642)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(4,368,903)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3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 of reverse mortgages (HECM loans) accounted for as a financing (HMBS-related</w:t>
            </w:r>
          </w:p>
        </w:tc>
        <w:tc>
          <w:tcPr>
            <w:tcW w:w="16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41"/>
        </w:trPr>
        <w:tc>
          <w:tcPr>
            <w:tcW w:w="83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664,453</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522,981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230,343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166,093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3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256,549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257,272</w:t>
            </w:r>
          </w:p>
        </w:tc>
      </w:tr>
      <w:tr>
        <w:trPr>
          <w:trHeight w:val="297"/>
        </w:trPr>
        <w:tc>
          <w:tcPr>
            <w:tcW w:w="834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color w:val="auto"/>
              </w:rPr>
              <w:t>Cash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251,472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218,915</w:t>
            </w:r>
          </w:p>
        </w:tc>
      </w:tr>
      <w:tr>
        <w:trPr>
          <w:trHeight w:val="311"/>
        </w:trPr>
        <w:tc>
          <w:tcPr>
            <w:tcW w:w="83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70" w:orient="portrait"/>
          <w:cols w:equalWidth="0" w:num="1">
            <w:col w:w="11420"/>
          </w:cols>
          <w:pgMar w:left="240" w:top="333" w:right="239" w:bottom="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70" w:orient="portrait"/>
          <w:cols w:equalWidth="0" w:num="1">
            <w:col w:w="11420"/>
          </w:cols>
          <w:pgMar w:left="240" w:top="333" w:right="239" w:bottom="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68" w:lineRule="exact"/>
        <w:rPr>
          <w:sz w:val="20"/>
          <w:szCs w:val="20"/>
          <w:color w:val="auto"/>
        </w:rPr>
      </w:pPr>
    </w:p>
    <w:p>
      <w:pPr>
        <w:ind w:right="540" w:firstLine="324"/>
        <w:spacing w:after="0" w:line="276" w:lineRule="auto"/>
        <w:rPr>
          <w:sz w:val="20"/>
          <w:szCs w:val="20"/>
          <w:color w:val="auto"/>
        </w:rPr>
      </w:pPr>
      <w:r>
        <w:rPr>
          <w:rFonts w:ascii="Times New Roman" w:cs="Times New Roman" w:eastAsia="Times New Roman" w:hAnsi="Times New Roman"/>
          <w:sz w:val="17"/>
          <w:szCs w:val="17"/>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originate, purchase, sell and securitize conventional (conforming to the underwriting standards of Fannie Mae or Freddie Mac; collectively referred to as Agency loans) and government-insured (Federal Housing Administration (FHA) or Department of Veterans Affairs (VA)) forward and reverse mortgages. The GSEs or Ginnie Mae guarantee these mortgage securitizations.</w:t>
      </w:r>
    </w:p>
    <w:p>
      <w:pPr>
        <w:spacing w:after="0" w:line="6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had a total of approximately 8,900 employees at June 30, 2017 of which approximately 5,700 were located in India and approximately 800 were based in the Philippines. Our operations in India and the Philippines provide internal support services, principally to our loan servicing business as well as to our corporate functions. Of our foreign-based employees, nearly 80% were engaged in supporting our loan servicing operations as of June 30,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successfully operate our business.</w:t>
      </w:r>
    </w:p>
    <w:p>
      <w:pPr>
        <w:spacing w:after="0" w:line="68"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We have incurred a net loss for the six months ended June 30, 2017, which follows losses in each of the last three fiscal years. While these losses have eroded stockholders’ equity and weakened our financial condition, it is important to note that we generated positive operating cash flow in each of these periods. We expect our cash position to strengthen in fiscal 2017 as a result of proceeds we expect to receive in connection with our recent agreements with New Residential Investment Corp. (NRZ), which are discussed in additional detail in Note 4 — Sales of Advances and MSRs. In order to drive stronger financial performance, we are focused on reducing expenses by improving our operating effectiveness relative to the size of our business, improving our lending business and returning to more normalized relationships with our regulators.</w:t>
      </w:r>
    </w:p>
    <w:p>
      <w:pPr>
        <w:spacing w:after="0" w:line="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 continues to be impacted by regulatory actions, regulatory settlements and the current regulatory environment. We have faced, and expect to continue to face, heightened regulatory and public scrutiny as well as stricter and more comprehensive regulation of our business. Since April 20, 2017, the CFPB, two state attorneys general and thirty state mortgage and banking regulatory agencies have taken regulatory action against us alleging various deficiencies in our compliance with laws, regulations and licensing requirements. The consequences of these regulatory actions have included one rating agency downgrading our long-term corporate debt, several rating agencies putting our servicer ratings on watch and Ginnie Mae sending us a notice of violation that includes a forbearance on exercising rights until October 26, 2017. Our business, operating results and financial condition have been significantly impacted in recent periods by legal and other fees and settlement payments related to litigation and regulatory matters, including the costs of third-party monitoring firms under our regulatory settlements. Should the number or scope of regulatory actions against us increase or expand or should reasonable resolutions not be reached, our business, reputation, financial condition, liquidity and results of operations could be adversely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8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affected. See Note 8 – Mortgage Servicing, Note 11 – Borrowings, Note 17 – Regulatory Requirements and Note 19 – Contingencies for further information.</w:t>
      </w:r>
    </w:p>
    <w:p>
      <w:pPr>
        <w:spacing w:after="0" w:line="11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With regard to the current maturities of our borrowings, as of June 30, 2017, we have approximately $928.7 million of debt outstanding under facilities coming due in the next 12 months, including scheduled payments under our Senior Secured Term Loan (SSTL), certain notes under our servicing advance match funded facilities and our mortgage loan warehouse facilities. Portions of our match funded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events of default provisions that include, among other things, noncompliance with covenants, breach of representations, or the occurrence of a material adverse change. Provisions of this type are commonly found in debt agreements such as ours. Certain of these provisions are open to subjective interpretation and, if our interpretation were contested by a lender, a court may ultimately be required to determine compliance or lack thereof. If a lender were to allege an event of default, whether as a result of recent events or otherwise, and we are unable to avoid, remedy or secure a waiver, we could be subject to adverse action by our lenders, including acceleration of outstanding obligations, enforcement of liens against the assets securing or otherwise supporting our obligations and other legal remedies, any of which could have a material adverse impact on us. In addition, OLS, Homeward and Liberty are parties to seller/servicer agreements and/or subject to guidelines and regulations (collectively, seller/servicer obligations) with one or more of the GSEs, HUD, FHA, VA and Ginnie Mae. These seller/servicer obligations include financial requirements, including capital requirements related to tangible net worth, as defined by the applicable agency,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See Note 11 – Borrowings and Note 17 – Regulatory Requirements for additional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2017 are not necessarily indicative of the results that may be expected for any other interim period or for the year ending December 31, 2017. The unaudited consolidated financial statements presented herein should be read in conjunction with the audited consolidated financial statements and related notes thereto included in Amendment No. 1 to our Annual Report on Form 10-K for the year ended December 31, 2016.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Assumptions</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the amortization of mortgage servicing rights, income taxes, the provision for potential losses that may arise from litigation proceedings, representation and warranty and other indemnification obligations, and our going concern evaluation. In developing estimates and assumptions, management uses all available information; however, actual results could materially differ from those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19"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 xml:space="preserve">As a result of our adoption on January 1, 2017 of FASB Accounting Standards Update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Accounting for Employee Share-Based Payments</w:t>
      </w:r>
      <w:r>
        <w:rPr>
          <w:rFonts w:ascii="Times New Roman" w:cs="Times New Roman" w:eastAsia="Times New Roman" w:hAnsi="Times New Roman"/>
          <w:sz w:val="18"/>
          <w:szCs w:val="18"/>
          <w:color w:val="auto"/>
        </w:rPr>
        <w:t>, excess tax benefits have been classified along with other income tax cash flows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activity in our unaudited consolidated statements of cash flows, rather than being separated from other income tax cash flows and classified as a financing activity. Additionally, cash paid by Ocwen when directly withholding shares for tax-withholding purposes has been classified as a financing activity in our unaudited consolidated statements of cash flows, rather than being classified as an operating activity.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8" w:right="239" w:bottom="1440" w:gutter="0" w:footer="0" w:header="0"/>
        </w:sectPr>
      </w:pPr>
    </w:p>
    <w:bookmarkStart w:id="11" w:name="page12"/>
    <w:bookmarkEnd w:id="11"/>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unaudited consolidated statement of cash flows for the six months ended June 30, 2016 have been reclassified to conform to the current year presentation as follows:</w:t>
      </w:r>
    </w:p>
    <w:p>
      <w:pPr>
        <w:spacing w:after="0" w:line="54" w:lineRule="exact"/>
        <w:rPr>
          <w:sz w:val="20"/>
          <w:szCs w:val="20"/>
          <w:color w:val="auto"/>
        </w:rPr>
      </w:pPr>
    </w:p>
    <w:p>
      <w:pPr>
        <w:ind w:left="660" w:right="20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operating activities section, we reclassified Net gain on valuation of mortgage loans held for investment and HMBS-related borrowings from Other to a new separate line item. In addition, we reclassified amounts related to reverse mortgages from Gain on loans held for sale, net to Other.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financing activities section, we reclassified Proceeds from exercise of stock options to Other.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reclassifications had no impact on our consolidated cash flows from operating, investing or financing activities.</w:t>
      </w:r>
    </w:p>
    <w:p>
      <w:pPr>
        <w:spacing w:after="0" w:line="11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unaudited consolidated balance sheet at December 31, 2016 have been reclassified to conform to the current year presentation as follows:</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total assets section, we reclassified Deferred tax assets, net to Other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total liabilities section, we reclassified HMBS-related borrowings from Financing liabilities to a new separate line item.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 Stock Compensation: Improvements to Employee Shared-Based Payment Accounting (ASU 2016-09)</w:t>
      </w:r>
    </w:p>
    <w:p>
      <w:pPr>
        <w:spacing w:after="0" w:line="1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reclassification matters discussed above, ASU 2016-09 requires excess tax benefits associated with employee share-based payments to be recognized through the income statement, regardless of whether the benefit reduces income taxes payable in the current period. Prior to our adoption of this standard, excess tax benefits were recognized in additional paid-in capital and were not recognized until the deduction reduced income taxes payable. Additionally, concurrent with our adoption of ASU 2016-09, we made an accounting policy election to account for forfeitures when they occur, rather than estimating the number of awards that are expected to vest, as we had done prior to our adoption of this standard. Amendments requiring recognition of excess tax benefits in the income statement were adopted prospectively. Amendments related to the timing of when excess tax benefits are recognized and forfeitures were adopted using a modified retrospective transition method by means of cumulative-effect adjustments to equity as of January 1, 2017.</w:t>
      </w:r>
    </w:p>
    <w:p>
      <w:pPr>
        <w:spacing w:after="0" w:line="8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timing of the recognition of excess tax benefits, the cumulative-effect adjustment was to recognize an increase in retained earnings of $5.0 million and a deferred tax asset for the same amount. However, because we have determined that our US and USVI deferred tax assets are not considered to be more likely than not realizable, we established an offsetting full valuation allowance on the deferred tax asset through a reduction in retained earnings.</w:t>
      </w:r>
    </w:p>
    <w:p>
      <w:pPr>
        <w:spacing w:after="0" w:line="6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the change in accounting for forfeitures, we recognized a cumulative-effect adjustment through a reduction of $0.3 million in retained earnings and an increase in additional paid-in capital for the same amount. We also recognized the tax effect of this adjustment through an increase in retained earnings of $0.1 million and a deferred tax asset for the same amount. However, we also fully reserved the resulting deferred tax asset as an offsetting reduction in retained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Clarifying the Definition of a Business (ASU 2017-01)</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ASU 2017-01 to clarify the definition of a business with the objective of adding guidance to assist entities with evaluating whether transactions should be accounted for as acquisitions or disposals of assets or businesses. This standard will be effective for us on January 1, 2018. We do not anticipate that our adoption of this standard will have a material impact on our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Nonrefundable Fees and Other Costs (ASU 2017-08)</w:t>
      </w:r>
    </w:p>
    <w:p>
      <w:pPr>
        <w:spacing w:after="0" w:line="11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March 2017, the FASB issued ASU 2017-08 to amend the amortization period for certain purchased callable debt securities held at a premium. This standard shortens the amortization period for the premium to the earliest call date, rather than generally amortizing the premium as an adjustment of yield over the contractual life of the instrument, as required by current GAAP. This standard will be effective for us on January 1, 2019. We do not anticipate that our adoption of this standard will have a material impact on our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Stock Compensation (ASU 2017-09)</w:t>
      </w:r>
    </w:p>
    <w:p>
      <w:pPr>
        <w:spacing w:after="0" w:line="11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2017-09 to provide clarity and reduce both diversity in practice as well as cost and complexity when applying the modification accounting guidance in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a change to the terms or conditions of a share-based payment award. This standard will be effective for us on January 1, 2018. We do not anticipate that our adoption of this standard will have a material impact on our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 Securitizations and Variable Interest Entities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three groups: (1) securitizations of residential mortgage loans, (2) financings of advances on loans serviced for others and (3) financings of automotive dealer financing notes.</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Securitizations of Residential Mortgage Loans</w:t>
      </w:r>
    </w:p>
    <w:p>
      <w:pPr>
        <w:spacing w:after="0" w:line="12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unaudited consolidated statements of operations. We also sell newly originated forward and reverse residential mortgage loans to unaffiliated third parties with servicing rights released.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Forward Loans</w:t>
      </w:r>
    </w:p>
    <w:p>
      <w:pPr>
        <w:spacing w:after="0" w:line="11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To the extent we retain the servicing rights associated with the transferred loans, we receive a servicing fee for services provided. We act only as a fiduciary and do not have a variable interest in the securitization trusts. As a result, we account for these transactions as sales upon transfer.</w:t>
      </w:r>
    </w:p>
    <w:p>
      <w:pPr>
        <w:spacing w:after="0" w:line="7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 We include all changes in loans held for sale and related derivative balances in operating activities in the unaudited consolidated statements of cash flows.</w:t>
      </w:r>
    </w:p>
    <w:p>
      <w:pPr>
        <w:spacing w:after="0" w:line="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cash flows received from and paid to securitization trusts related to transfers accounted for as sales that were outstanding: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1,022,152</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1,357,206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2,024,149</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2,366,470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Purchases of previously transferred assets, net of claims reimbursed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1,030,258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1,359,989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2,041,375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2,372,364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these transfers, we retained MSRs of $6.9 million and $15.0 million, and $9.5 million and $16.7 million, during the three and six months ended June 30, 2017 and 2016, respectively.</w:t>
      </w:r>
    </w:p>
    <w:p>
      <w:pPr>
        <w:spacing w:after="0" w:line="54" w:lineRule="exact"/>
        <w:rPr>
          <w:sz w:val="20"/>
          <w:szCs w:val="20"/>
          <w:color w:val="auto"/>
        </w:rPr>
      </w:pPr>
    </w:p>
    <w:p>
      <w:pPr>
        <w:ind w:right="340" w:firstLine="324"/>
        <w:spacing w:after="0" w:line="313"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3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EAF9E8"/>
            </w:tcBorders>
          </w:tcPr>
          <w:p>
            <w:pPr>
              <w:spacing w:after="0"/>
              <w:rPr>
                <w:sz w:val="2"/>
                <w:szCs w:val="2"/>
                <w:color w:val="auto"/>
              </w:rPr>
            </w:pPr>
          </w:p>
        </w:tc>
        <w:tc>
          <w:tcPr>
            <w:tcW w:w="38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Carrying value of assets:</w:t>
            </w:r>
          </w:p>
        </w:tc>
        <w:tc>
          <w:tcPr>
            <w:tcW w:w="386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servicing rights, at amortized cost</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94,492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Mortgage servicing rights, at fair value</w:t>
            </w:r>
          </w:p>
        </w:tc>
        <w:tc>
          <w:tcPr>
            <w:tcW w:w="386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match funded advances</w:t>
            </w:r>
          </w:p>
        </w:tc>
        <w:tc>
          <w:tcPr>
            <w:tcW w:w="3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37,336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UPB of loans transferred</w:t>
            </w:r>
          </w:p>
        </w:tc>
        <w:tc>
          <w:tcPr>
            <w:tcW w:w="386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11,588,074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10,485,697</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Maximum exposure to loss</w:t>
            </w:r>
          </w:p>
        </w:tc>
        <w:tc>
          <w:tcPr>
            <w:tcW w:w="38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11,742,176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10,617,758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color w:val="auto"/>
        </w:rPr>
        <w:t>At June 30, 2017 and December 31, 2016, 6.8% and 7.6%, respectively, of the transferred residential loans that we service were 60 days or more past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Reverse Mortgages</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an approved issuer of Ginnie Mae Home Equity Conversion Mortgage-Backed Securities (HMBS) that are guaranteed by Ginnie Mae. We originate Home Equity Conversion Mortgages (HECM, or reverse mortgages) that are insured by the FHA. We pool the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with respect to standard representations and warranties and our contractual obligation to service the HECM loans and the HMBS.</w:t>
      </w:r>
    </w:p>
    <w:p>
      <w:pPr>
        <w:spacing w:after="0" w:line="7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measure the HECM loans and HMBS-related borrowings at fair value on a recurring basis. The changes in fair value of the HECM loans and HMBS-related borrowings are included in Other revenues in our unaudited consolidated statements of operations. Included in net fair value gains on the HECM loans and related HMBS borrowings are the interest income that we expect to be collected on the HECM loans and the interest expense that we expect to be paid on the HMBS-related borrowings. We report originations and collections of HECM loans in investing activities in the unaudited consolidated statements of cash flows. We report net fair value gains on HECM loans and the related HMBS borrowings as an adjustment to the net cash provided by or used in operating activities in the unaudited consolidated statements of cash flows. Proceeds from securitizations of HECM loans and payments on HMBS-related borrowings are included in financing activities in the unaudited consolidated statements of cash flows.</w:t>
      </w:r>
    </w:p>
    <w:p>
      <w:pPr>
        <w:spacing w:after="0" w:line="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At June 30, 2017 and December 31, 2016, HMBS-related borrowings of $4.1 billion and $3.4 billion were outstanding. Loans held for investment, at fair value were $4.2 billion and $3.6 billion at June 30, 2017 and December 31, 2016, respectively. At June 30, 2017 and December 31, 2016, Loans held for investment included $99.1 million and $81.3 million, respectively, of originated loans which had not yet been pledged as collateral. See Note 3 – Fair Value and Note 11 – Borrowings for additional information on HMBS-related borrowings and Loans held for investment - Reverse mortgages.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6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make the transfers to these SPEs under the terms of our advance financing facility agreements. We classify the transferred advances on our unaudited consolidated balance sheets as a component of Match funded assets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of Automotive Dealer Financing Notes</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Match funded automotive dealer financing notes result from our transfers of short-term, inventory-secured loans to car dealers to an SPE in exchange for cash. We consolidate this SPE because we have determined that Ocwen is the primary beneficiary of the SPE. The SPE issues debt supported by collections on the transferred loans.</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make the transfers to the SPE under the terms of our automotive capital asset receivables financing facility agreements. We classify the transferred loans on our unaudited consolidated balance sheets as a component of Match funded assets and the related liabilities as Match funded liabilities. The SPE uses collections of the pledged loans to repay principal and interest and to pay the expenses of the SPE. Holders of the debt issued by the SPE have recourse only to the assets of the SPE for satisfaction of the debt. The assets and liabilities of the automotive capital asset receivables financing SPE are comprised solely of Match funded automotive dealer financing notes, Debt service accounts, Match funded liabilities and amounts due to affiliates. Amounts due to affiliates are eliminated in consolidation in our unaudited consolidated balance sheets.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 Fair Value</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6"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1:</w:t>
        <w:tab/>
        <w:t>Quoted prices (unadjusted) in active markets for identical assets or liabilities that the reporting entity can access at the measurement date.</w:t>
      </w:r>
    </w:p>
    <w:p>
      <w:pPr>
        <w:spacing w:after="0" w:line="27"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239,490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239,490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284,632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260,959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260,959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314,006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314,006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investment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4,223,776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4,223,776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3,565,716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3,565,716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(including match funded)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1,478,255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1,709,846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1,709,846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Automotive dealer financing notes (including match funded)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33,867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33,224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33,147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 (c)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252,797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265,720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Mortgage-backed securities,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8,986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notes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Match funded liabilities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1,108,377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1,103,202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1,280,997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1,275,059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HMBS-related borrowings,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4,061,626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4,061,626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3,433,781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liability - MSRs pledged, at fair value (a)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477,707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92,799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73,154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101,324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81,805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 Financing liabilities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4,595,432</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4,575,787</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4,012,812</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3,993,293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8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secured term loan (c) (d)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316,739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326,625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323,514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327,674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327,121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327,121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355,029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355,029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 Other secured borrowings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643,860</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653,746</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678,543</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682,703</w:t>
            </w:r>
          </w:p>
        </w:tc>
        <w:tc>
          <w:tcPr>
            <w:tcW w:w="0" w:type="dxa"/>
            <w:vAlign w:val="bottom"/>
          </w:tcPr>
          <w:p>
            <w:pPr>
              <w:spacing w:after="0"/>
              <w:rPr>
                <w:sz w:val="1"/>
                <w:szCs w:val="1"/>
                <w:color w:val="auto"/>
              </w:rPr>
            </w:pPr>
          </w:p>
        </w:tc>
      </w:tr>
      <w:tr>
        <w:trPr>
          <w:trHeight w:val="311"/>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Senior unsecured notes (c) (d)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secured notes (c) (d)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343,963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332,136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352,255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Senior notes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347,063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335,084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346,789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355,303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 assets (liabilities), at fair value (a):</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Forward mortgage-backed securities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caps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Mortgage servicing rights,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625,650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625,650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679,256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servicing rights, at amortized cost (c) (e)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349,535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467,911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Mortgage servicing rights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975,185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1,065,961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1,042,978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1,147,167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carried, at fair value.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11 – Borrowings for additional information</w:t>
      </w:r>
      <w:r>
        <w:rPr>
          <w:rFonts w:ascii="Times New Roman" w:cs="Times New Roman" w:eastAsia="Times New Roman" w:hAnsi="Times New Roman"/>
          <w:sz w:val="16"/>
          <w:szCs w:val="16"/>
          <w:b w:val="1"/>
          <w:bCs w:val="1"/>
          <w:color w:val="auto"/>
        </w:rPr>
        <w:t>.</w:t>
      </w:r>
    </w:p>
    <w:p>
      <w:pPr>
        <w:spacing w:after="0" w:line="5" w:lineRule="exact"/>
        <w:rPr>
          <w:rFonts w:ascii="Times New Roman" w:cs="Times New Roman" w:eastAsia="Times New Roman" w:hAnsi="Times New Roman"/>
          <w:sz w:val="16"/>
          <w:szCs w:val="16"/>
          <w:color w:val="auto"/>
        </w:rPr>
      </w:pPr>
    </w:p>
    <w:p>
      <w:pPr>
        <w:jc w:val="both"/>
        <w:ind w:left="500" w:right="100" w:hanging="492"/>
        <w:spacing w:after="0" w:line="252" w:lineRule="auto"/>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include the impaired government-insured stratum of amortization method MSRs, which is measured at fair value on a non-recurring basis and reported net of the valuation allowance. Before applying the valuation allowance of $32.8 million, the carrying value of the impaired stratum at June 30, 2017 was $168.3 million. At December 31, 2016, the carrying value of this stratum was $172.9 million before applying the valuation allowance of $28.2 million.</w:t>
      </w:r>
    </w:p>
    <w:p>
      <w:pPr>
        <w:spacing w:after="0" w:line="7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changes in fair value of Level 3 assets and liabilities that we measure at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Backed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7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Three months ended June 30, 2017</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3,916,387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(3,739,265)</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8,658</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651,987</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380,842</w:t>
            </w:r>
          </w:p>
        </w:tc>
      </w:tr>
      <w:tr>
        <w:trPr>
          <w:trHeight w:val="205"/>
        </w:trPr>
        <w:tc>
          <w:tcPr>
            <w:tcW w:w="264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Purchases, issuances, sales and</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4"/>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Transfers to Real estate (Other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2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(112,279)</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101,132</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16,194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5,005</w:t>
            </w:r>
          </w:p>
        </w:tc>
      </w:tr>
      <w:tr>
        <w:trPr>
          <w:trHeight w:val="237"/>
        </w:trPr>
        <w:tc>
          <w:tcPr>
            <w:tcW w:w="26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237,690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r>
      <w:tr>
        <w:trPr>
          <w:trHeight w:val="27"/>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5"/>
        </w:trPr>
        <w:tc>
          <w:tcPr>
            <w:tcW w:w="2640" w:type="dxa"/>
            <w:vAlign w:val="bottom"/>
            <w:shd w:val="clear" w:color="auto" w:fill="EAF9E8"/>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1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41"/>
        </w:trPr>
        <w:tc>
          <w:tcPr>
            <w:tcW w:w="26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spacing w:after="0"/>
              <w:rPr>
                <w:sz w:val="20"/>
                <w:szCs w:val="20"/>
                <w:color w:val="auto"/>
              </w:rPr>
            </w:pPr>
          </w:p>
        </w:tc>
      </w:tr>
      <w:tr>
        <w:trPr>
          <w:trHeight w:val="243"/>
        </w:trPr>
        <w:tc>
          <w:tcPr>
            <w:tcW w:w="2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w:t>
            </w:r>
          </w:p>
        </w:tc>
      </w:tr>
      <w:tr>
        <w:trPr>
          <w:trHeight w:val="27"/>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5"/>
        </w:trPr>
        <w:tc>
          <w:tcPr>
            <w:tcW w:w="2640" w:type="dxa"/>
            <w:vAlign w:val="bottom"/>
            <w:shd w:val="clear" w:color="auto" w:fill="EAF9E8"/>
          </w:tcPr>
          <w:p>
            <w:pPr>
              <w:ind w:left="180"/>
              <w:spacing w:after="0" w:line="205" w:lineRule="exact"/>
              <w:rPr>
                <w:sz w:val="20"/>
                <w:szCs w:val="20"/>
                <w:color w:val="auto"/>
              </w:rPr>
            </w:pPr>
            <w:r>
              <w:rPr>
                <w:rFonts w:ascii="Times New Roman" w:cs="Times New Roman" w:eastAsia="Times New Roman" w:hAnsi="Times New Roman"/>
                <w:sz w:val="18"/>
                <w:szCs w:val="18"/>
                <w:color w:val="auto"/>
              </w:rPr>
              <w:t>Transfers in and / or out of Level</w:t>
            </w:r>
          </w:p>
        </w:tc>
        <w:tc>
          <w:tcPr>
            <w:tcW w:w="1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r>
      <w:tr>
        <w:trPr>
          <w:trHeight w:val="261"/>
        </w:trPr>
        <w:tc>
          <w:tcPr>
            <w:tcW w:w="26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4,223,776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(4,061,626)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625,650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357,716</w:t>
            </w: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6"/>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Liability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0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Backed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MSRs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52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3"/>
        </w:trPr>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2016</w:t>
            </w: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2,771,242</w:t>
            </w:r>
          </w:p>
        </w:tc>
        <w:tc>
          <w:tcPr>
            <w:tcW w:w="260" w:type="dxa"/>
            <w:vAlign w:val="bottom"/>
            <w:tcBorders>
              <w:bottom w:val="single" w:sz="8" w:color="EAF9E8"/>
            </w:tcBorders>
            <w:gridSpan w:val="2"/>
            <w:shd w:val="clear" w:color="auto" w:fill="EAF9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(2,648,100)</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8,386</w:t>
            </w:r>
          </w:p>
        </w:tc>
        <w:tc>
          <w:tcPr>
            <w:tcW w:w="2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(523,503)</w:t>
            </w:r>
          </w:p>
        </w:tc>
        <w:tc>
          <w:tcPr>
            <w:tcW w:w="1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Borders>
              <w:bottom w:val="single" w:sz="8" w:color="EAF9E8"/>
            </w:tcBorders>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732,174</w:t>
            </w:r>
          </w:p>
        </w:tc>
        <w:tc>
          <w:tcPr>
            <w:tcW w:w="1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340,769</w:t>
            </w:r>
          </w:p>
        </w:tc>
      </w:tr>
      <w:tr>
        <w:trPr>
          <w:trHeight w:val="205"/>
        </w:trPr>
        <w:tc>
          <w:tcPr>
            <w:tcW w:w="254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Purchases, issuances, sales and</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4"/>
        </w:trPr>
        <w:tc>
          <w:tcPr>
            <w:tcW w:w="2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80,106</w:t>
            </w: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Settlements (1)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220,007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(230,584)</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28,377</w:t>
            </w:r>
          </w:p>
        </w:tc>
        <w:tc>
          <w:tcPr>
            <w:tcW w:w="1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16,249</w:t>
            </w:r>
          </w:p>
        </w:tc>
      </w:tr>
      <w:tr>
        <w:trPr>
          <w:trHeight w:val="205"/>
        </w:trPr>
        <w:tc>
          <w:tcPr>
            <w:tcW w:w="254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4"/>
        </w:trPr>
        <w:tc>
          <w:tcPr>
            <w:tcW w:w="2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gains and (losses):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540" w:type="dxa"/>
            <w:vAlign w:val="bottom"/>
            <w:tcBorders>
              <w:bottom w:val="single" w:sz="8" w:color="EAF9E8"/>
            </w:tcBorders>
            <w:gridSpan w:val="2"/>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Included in earnings</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66,315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(57,244)</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(29,811)</w:t>
            </w:r>
          </w:p>
        </w:tc>
        <w:tc>
          <w:tcPr>
            <w:tcW w:w="1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(20,577)</w:t>
            </w:r>
          </w:p>
        </w:tc>
      </w:tr>
      <w:tr>
        <w:trPr>
          <w:trHeight w:val="205"/>
        </w:trPr>
        <w:tc>
          <w:tcPr>
            <w:tcW w:w="254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w w:val="98"/>
              </w:rPr>
              <w:t>Transfers in and / or out of Level</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4"/>
        </w:trPr>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54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2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3,057,564</w:t>
            </w:r>
          </w:p>
        </w:tc>
        <w:tc>
          <w:tcPr>
            <w:tcW w:w="260" w:type="dxa"/>
            <w:vAlign w:val="bottom"/>
            <w:gridSpan w:val="2"/>
            <w:shd w:val="clear" w:color="auto" w:fill="EAF9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(2,935,928)</w:t>
            </w: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9,063</w:t>
            </w:r>
          </w:p>
        </w:tc>
        <w:tc>
          <w:tcPr>
            <w:tcW w:w="2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AF9E8"/>
          </w:tcPr>
          <w:p>
            <w:pPr>
              <w:jc w:val="right"/>
              <w:ind w:right="40"/>
              <w:spacing w:after="0"/>
              <w:rPr>
                <w:sz w:val="20"/>
                <w:szCs w:val="20"/>
                <w:color w:val="auto"/>
              </w:rPr>
            </w:pPr>
            <w:r>
              <w:rPr>
                <w:rFonts w:ascii="Times New Roman" w:cs="Times New Roman" w:eastAsia="Times New Roman" w:hAnsi="Times New Roman"/>
                <w:sz w:val="18"/>
                <w:szCs w:val="18"/>
                <w:color w:val="auto"/>
              </w:rPr>
              <w:t>(495,126)</w:t>
            </w:r>
          </w:p>
        </w:tc>
        <w:tc>
          <w:tcPr>
            <w:tcW w:w="1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Times New Roman" w:cs="Times New Roman" w:eastAsia="Times New Roman" w:hAnsi="Times New Roman"/>
                <w:sz w:val="18"/>
                <w:szCs w:val="18"/>
                <w:color w:val="auto"/>
              </w:rPr>
              <w:t>700,668</w:t>
            </w:r>
          </w:p>
        </w:tc>
        <w:tc>
          <w:tcPr>
            <w:tcW w:w="1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336,441</w:t>
            </w:r>
          </w:p>
        </w:tc>
      </w:tr>
      <w:tr>
        <w:trPr>
          <w:trHeight w:val="20"/>
        </w:trPr>
        <w:tc>
          <w:tcPr>
            <w:tcW w:w="252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43"/>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Liability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backed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MSRs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0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3,565,716</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gridSpan w:val="2"/>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(3,433,781)</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(477,707)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679,256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gridSpan w:val="2"/>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343,662</w:t>
            </w:r>
          </w:p>
        </w:tc>
      </w:tr>
      <w:tr>
        <w:trPr>
          <w:trHeight w:val="205"/>
        </w:trPr>
        <w:tc>
          <w:tcPr>
            <w:tcW w:w="25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Purchases, issuances, sales and</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4"/>
        </w:trPr>
        <w:tc>
          <w:tcPr>
            <w:tcW w:w="2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698,473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32,603</w:t>
            </w: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5"/>
        </w:trPr>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Transfers to Real estate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5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(192,569)</w:t>
            </w:r>
          </w:p>
        </w:tc>
        <w:tc>
          <w:tcPr>
            <w:tcW w:w="1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176,231</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33,193</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16,813</w:t>
            </w:r>
          </w:p>
        </w:tc>
      </w:tr>
      <w:tr>
        <w:trPr>
          <w:trHeight w:val="237"/>
        </w:trPr>
        <w:tc>
          <w:tcPr>
            <w:tcW w:w="25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504,481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(488,222)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33,193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47,763</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5"/>
        </w:trPr>
        <w:tc>
          <w:tcPr>
            <w:tcW w:w="2520" w:type="dxa"/>
            <w:vAlign w:val="bottom"/>
            <w:shd w:val="clear" w:color="auto" w:fill="EAF9E8"/>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r>
      <w:tr>
        <w:trPr>
          <w:trHeight w:val="241"/>
        </w:trPr>
        <w:tc>
          <w:tcPr>
            <w:tcW w:w="254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gains and (losses): (2)</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r>
      <w:tr>
        <w:trPr>
          <w:trHeight w:val="243"/>
        </w:trPr>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Included in earnings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(33,709)</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5"/>
        </w:trPr>
        <w:tc>
          <w:tcPr>
            <w:tcW w:w="2520" w:type="dxa"/>
            <w:vAlign w:val="bottom"/>
            <w:shd w:val="clear" w:color="auto" w:fill="EAF9E8"/>
          </w:tcPr>
          <w:p>
            <w:pPr>
              <w:ind w:left="180"/>
              <w:spacing w:after="0" w:line="205" w:lineRule="exact"/>
              <w:rPr>
                <w:sz w:val="20"/>
                <w:szCs w:val="20"/>
                <w:color w:val="auto"/>
              </w:rPr>
            </w:pPr>
            <w:r>
              <w:rPr>
                <w:rFonts w:ascii="Times New Roman" w:cs="Times New Roman" w:eastAsia="Times New Roman" w:hAnsi="Times New Roman"/>
                <w:sz w:val="18"/>
                <w:szCs w:val="18"/>
                <w:color w:val="auto"/>
              </w:rPr>
              <w:t>Transfers in and / or out of</w:t>
            </w:r>
          </w:p>
        </w:tc>
        <w:tc>
          <w:tcPr>
            <w:tcW w:w="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r>
      <w:tr>
        <w:trPr>
          <w:trHeight w:val="261"/>
        </w:trPr>
        <w:tc>
          <w:tcPr>
            <w:tcW w:w="252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4,223,776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(4,061,626)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625,650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357,716</w:t>
            </w:r>
          </w:p>
        </w:tc>
      </w:tr>
      <w:tr>
        <w:trPr>
          <w:trHeight w:val="20"/>
        </w:trPr>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backed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Pledged (1)</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2,488,253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(2,391,362)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7,985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(541,704)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761,190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326,404</w:t>
            </w:r>
          </w:p>
        </w:tc>
        <w:tc>
          <w:tcPr>
            <w:tcW w:w="0" w:type="dxa"/>
            <w:vAlign w:val="bottom"/>
          </w:tcPr>
          <w:p>
            <w:pPr>
              <w:spacing w:after="0"/>
              <w:rPr>
                <w:sz w:val="1"/>
                <w:szCs w:val="1"/>
                <w:color w:val="auto"/>
              </w:rPr>
            </w:pPr>
          </w:p>
        </w:tc>
      </w:tr>
      <w:tr>
        <w:trPr>
          <w:trHeight w:val="205"/>
        </w:trPr>
        <w:tc>
          <w:tcPr>
            <w:tcW w:w="25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Purchases, issuances, sales and</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151,409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(93,465)</w:t>
            </w:r>
          </w:p>
        </w:tc>
        <w:tc>
          <w:tcPr>
            <w:tcW w:w="0" w:type="dxa"/>
            <w:vAlign w:val="bottom"/>
          </w:tcPr>
          <w:p>
            <w:pPr>
              <w:spacing w:after="0"/>
              <w:rPr>
                <w:sz w:val="1"/>
                <w:szCs w:val="1"/>
                <w:color w:val="auto"/>
              </w:rPr>
            </w:pP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436,827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(424,105)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46,578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57,945</w:t>
            </w:r>
          </w:p>
        </w:tc>
        <w:tc>
          <w:tcPr>
            <w:tcW w:w="0" w:type="dxa"/>
            <w:vAlign w:val="bottom"/>
          </w:tcPr>
          <w:p>
            <w:pPr>
              <w:spacing w:after="0"/>
              <w:rPr>
                <w:sz w:val="1"/>
                <w:szCs w:val="1"/>
                <w:color w:val="auto"/>
              </w:rPr>
            </w:pPr>
          </w:p>
        </w:tc>
      </w:tr>
      <w:tr>
        <w:trPr>
          <w:trHeight w:val="205"/>
        </w:trPr>
        <w:tc>
          <w:tcPr>
            <w:tcW w:w="25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 and (losses) (2):</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132,484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(120,461)</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(59,104)</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(47,908)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132,484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20" w:type="dxa"/>
            <w:vAlign w:val="bottom"/>
            <w:shd w:val="clear" w:color="auto" w:fill="EAF9E8"/>
          </w:tcPr>
          <w:p>
            <w:pPr>
              <w:ind w:left="180"/>
              <w:spacing w:after="0" w:line="205" w:lineRule="exact"/>
              <w:rPr>
                <w:sz w:val="20"/>
                <w:szCs w:val="20"/>
                <w:color w:val="auto"/>
              </w:rPr>
            </w:pPr>
            <w:r>
              <w:rPr>
                <w:rFonts w:ascii="Times New Roman" w:cs="Times New Roman" w:eastAsia="Times New Roman" w:hAnsi="Times New Roman"/>
                <w:sz w:val="18"/>
                <w:szCs w:val="18"/>
                <w:color w:val="auto"/>
              </w:rPr>
              <w:t>Transfers in and / or out of</w:t>
            </w:r>
          </w:p>
        </w:tc>
        <w:tc>
          <w:tcPr>
            <w:tcW w:w="1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52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3,057,564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(2,935,928)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700,668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336,441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Settlements for Loans held for investment - reverse mortgages consist chiefly of principal payments received, but also may include non-cash settlements of loans.</w:t>
      </w:r>
    </w:p>
    <w:p>
      <w:pPr>
        <w:spacing w:after="0" w:line="23" w:lineRule="exact"/>
        <w:rPr>
          <w:rFonts w:ascii="Times New Roman" w:cs="Times New Roman" w:eastAsia="Times New Roman" w:hAnsi="Times New Roman"/>
          <w:sz w:val="16"/>
          <w:szCs w:val="16"/>
          <w:color w:val="auto"/>
        </w:rPr>
      </w:pPr>
    </w:p>
    <w:p>
      <w:pPr>
        <w:ind w:left="500" w:right="20" w:hanging="492"/>
        <w:spacing w:after="0" w:line="252"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gains (losses) attributable to derivative financial instruments still held at June 30, 2017 and June 30, 2016 were $0.2 million and $(2.0) million for the six months ended June 30, 2017 and 2016, respectively. Total losses attributable to MSRs still held at June 30, 2017 and June 30, 2016 were $51.5 million and $58.5 million for the six months ended June 30, 2017 and 2016, respectively.</w:t>
      </w:r>
    </w:p>
    <w:p>
      <w:pPr>
        <w:spacing w:after="0" w:line="7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originate and purchase residential mortgage loans that we intend to sell. We also own residential mortgage loans that are not eligible to be sold to the GSEs due to delinquency or other factors. 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38" w:right="239" w:bottom="1440" w:gutter="0" w:footer="0" w:header="0"/>
        </w:sectPr>
      </w:pPr>
    </w:p>
    <w:bookmarkStart w:id="18" w:name="page19"/>
    <w:bookmarkEnd w:id="18"/>
    <w:p>
      <w:pPr>
        <w:ind w:right="640"/>
        <w:spacing w:after="0" w:line="282" w:lineRule="auto"/>
        <w:rPr>
          <w:sz w:val="20"/>
          <w:szCs w:val="20"/>
          <w:color w:val="auto"/>
        </w:rPr>
      </w:pPr>
      <w:r>
        <w:rPr>
          <w:rFonts w:ascii="Times New Roman" w:cs="Times New Roman" w:eastAsia="Times New Roman" w:hAnsi="Times New Roman"/>
          <w:sz w:val="18"/>
          <w:szCs w:val="18"/>
          <w:color w:val="auto"/>
        </w:rPr>
        <w:t>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more significant assumptions included in the valuations consisted of the following at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60" w:type="dxa"/>
            <w:vAlign w:val="bottom"/>
          </w:tcPr>
          <w:p>
            <w:pPr>
              <w:spacing w:after="0"/>
              <w:rPr>
                <w:sz w:val="18"/>
                <w:szCs w:val="18"/>
                <w:color w:val="auto"/>
              </w:rPr>
            </w:pPr>
          </w:p>
        </w:tc>
      </w:tr>
      <w:tr>
        <w:trPr>
          <w:trHeight w:val="238"/>
        </w:trPr>
        <w:tc>
          <w:tcPr>
            <w:tcW w:w="798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 to 8.2</w:t>
            </w: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 to 8.7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5.3% to 53.8%</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5.2% to 53.8%</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the estimated future cash inflows for MSRs include servicing fees, late fees, float earnings and other ancillary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cash outflows include the cost of servicing, the cost of financing servicing advances and compensating interest payments.</w:t>
      </w:r>
    </w:p>
    <w:p>
      <w:pPr>
        <w:spacing w:after="0" w:line="9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evaluate the reasonableness of our third-party experts’ assumptions using historical experience adjusted for prevailing market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used in the valuation of MSRs include:</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prepayment speeds</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Delinquency rates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servicing</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Interest rate used for computing float earnings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Compensating interest expense</w:t>
            </w:r>
          </w:p>
        </w:tc>
      </w:tr>
      <w:tr>
        <w:trPr>
          <w:trHeight w:val="25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used for computing the cost of financing servicing</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Collection rate of other ancillary fees</w:t>
            </w:r>
          </w:p>
        </w:tc>
      </w:tr>
      <w:tr>
        <w:trPr>
          <w:trHeight w:val="234"/>
        </w:trPr>
        <w:tc>
          <w:tcPr>
            <w:tcW w:w="24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advances</w:t>
            </w:r>
          </w:p>
        </w:tc>
        <w:tc>
          <w:tcPr>
            <w:tcW w:w="5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Amortized Cost MSRs</w:t>
      </w:r>
    </w:p>
    <w:p>
      <w:pPr>
        <w:spacing w:after="0" w:line="11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more significant assumptions used in the valuations consisted of the following at the dates indicated:</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94"/>
        </w:trPr>
        <w:tc>
          <w:tcPr>
            <w:tcW w:w="8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2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financing cost</w:t>
            </w:r>
          </w:p>
        </w:tc>
        <w:tc>
          <w:tcPr>
            <w:tcW w:w="2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ind w:left="300"/>
              <w:spacing w:after="0"/>
              <w:rPr>
                <w:sz w:val="20"/>
                <w:szCs w:val="20"/>
                <w:color w:val="auto"/>
              </w:rPr>
            </w:pPr>
            <w:r>
              <w:rPr>
                <w:rFonts w:ascii="Times New Roman" w:cs="Times New Roman" w:eastAsia="Times New Roman" w:hAnsi="Times New Roman"/>
                <w:sz w:val="18"/>
                <w:szCs w:val="18"/>
                <w:color w:val="auto"/>
              </w:rPr>
              <w:t>5-year swap</w:t>
            </w: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5-year swap</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200" w:type="dxa"/>
            <w:vAlign w:val="bottom"/>
          </w:tcPr>
          <w:p>
            <w:pPr>
              <w:spacing w:after="0"/>
              <w:rPr>
                <w:sz w:val="21"/>
                <w:szCs w:val="21"/>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5-year swap</w:t>
            </w:r>
          </w:p>
        </w:tc>
        <w:tc>
          <w:tcPr>
            <w:tcW w:w="3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5-year swap</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r>
    </w:tbl>
    <w:p>
      <w:pPr>
        <w:spacing w:after="0" w:line="11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disclosed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5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assumptions used in the valuations consisted of the following at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30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2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 Agency</w:t>
            </w: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 Agency</w:t>
            </w:r>
          </w:p>
        </w:tc>
      </w:tr>
      <w:tr>
        <w:trPr>
          <w:trHeight w:val="27"/>
        </w:trPr>
        <w:tc>
          <w:tcPr>
            <w:tcW w:w="4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498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financing cost</w:t>
            </w:r>
          </w:p>
        </w:tc>
        <w:tc>
          <w:tcPr>
            <w:tcW w:w="2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5-year swap</w:t>
            </w:r>
          </w:p>
        </w:tc>
        <w:tc>
          <w:tcPr>
            <w:tcW w:w="12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w w:val="97"/>
              </w:rPr>
              <w:t>1-Month LIBOR</w:t>
            </w:r>
          </w:p>
        </w:tc>
        <w:tc>
          <w:tcPr>
            <w:tcW w:w="3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5-year swap</w:t>
            </w:r>
          </w:p>
        </w:tc>
        <w:tc>
          <w:tcPr>
            <w:tcW w:w="120" w:type="dxa"/>
            <w:vAlign w:val="bottom"/>
            <w:shd w:val="clear" w:color="auto" w:fill="EAF9E8"/>
          </w:tcPr>
          <w:p>
            <w:pPr>
              <w:spacing w:after="0"/>
              <w:rPr>
                <w:sz w:val="19"/>
                <w:szCs w:val="19"/>
                <w:color w:val="auto"/>
              </w:rPr>
            </w:pPr>
          </w:p>
        </w:tc>
        <w:tc>
          <w:tcPr>
            <w:tcW w:w="142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1-Month LIBOR</w:t>
            </w:r>
          </w:p>
        </w:tc>
      </w:tr>
      <w:tr>
        <w:trPr>
          <w:trHeight w:val="241"/>
        </w:trPr>
        <w:tc>
          <w:tcPr>
            <w:tcW w:w="498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20" w:type="dxa"/>
            <w:vAlign w:val="bottom"/>
            <w:tcBorders>
              <w:bottom w:val="single" w:sz="8" w:color="EAF9E8"/>
            </w:tcBorders>
            <w:gridSpan w:val="3"/>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(1ML) plus 3.5%</w:t>
            </w:r>
          </w:p>
        </w:tc>
        <w:tc>
          <w:tcPr>
            <w:tcW w:w="3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5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(1ML) plus 3.5%</w:t>
            </w: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280" w:type="dxa"/>
            <w:vAlign w:val="bottom"/>
          </w:tcPr>
          <w:p>
            <w:pPr>
              <w:spacing w:after="0"/>
              <w:rPr>
                <w:sz w:val="21"/>
                <w:szCs w:val="21"/>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5-year swap</w:t>
            </w:r>
          </w:p>
        </w:tc>
        <w:tc>
          <w:tcPr>
            <w:tcW w:w="12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1ML</w:t>
            </w:r>
          </w:p>
        </w:tc>
        <w:tc>
          <w:tcPr>
            <w:tcW w:w="30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5-year swap</w:t>
            </w:r>
          </w:p>
        </w:tc>
        <w:tc>
          <w:tcPr>
            <w:tcW w:w="12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1ML</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receivables generally approximates fair value because of the relatively short period of time between their origination and realization.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Automotive Dealer Financing Notes</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automotive dealer financing notes using unobservable inputs within an internally developed cash flow model. Key inputs included projected repayments, interest and fee receipts, deferrals, delinquencies, recoveries and charge-offs of the notes within the portfolio. The projected cash flows are then discounted at a rate commensurate with the risk of the estimated cash flows to derive the fair value of the portfolio. The more significant assumptions used in the valuation consisted of the following at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220" w:type="dxa"/>
            <w:vAlign w:val="bottom"/>
            <w:tcBorders>
              <w:bottom w:val="single" w:sz="8" w:color="EAF9E8"/>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life in months</w:t>
            </w:r>
          </w:p>
        </w:tc>
        <w:tc>
          <w:tcPr>
            <w:tcW w:w="15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note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5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loss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 (MBS)</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unaudited consolidated statements of operations.</w:t>
      </w:r>
    </w:p>
    <w:p>
      <w:pPr>
        <w:spacing w:after="0" w:line="18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Treasury Notes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base the fair value of U.S. Treasury notes on quoted prices in active markets to which we have access.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advance liabilities during the amortization period based on our historical advance collection rates and taking into consideration any plans to refinance the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HMBS-Related Borrowings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8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more significant assumptions used in the valuations consisted of the following at the dates indicated:</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64"/>
        </w:trPr>
        <w:tc>
          <w:tcPr>
            <w:tcW w:w="7980" w:type="dxa"/>
            <w:vAlign w:val="bottom"/>
          </w:tcPr>
          <w:p>
            <w:pPr>
              <w:spacing w:after="0"/>
              <w:rPr>
                <w:sz w:val="24"/>
                <w:szCs w:val="24"/>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60" w:type="dxa"/>
            <w:vAlign w:val="bottom"/>
          </w:tcPr>
          <w:p>
            <w:pPr>
              <w:spacing w:after="0"/>
              <w:rPr>
                <w:sz w:val="24"/>
                <w:szCs w:val="24"/>
                <w:color w:val="auto"/>
              </w:rPr>
            </w:pPr>
          </w:p>
        </w:tc>
      </w:tr>
      <w:tr>
        <w:trPr>
          <w:trHeight w:val="238"/>
        </w:trPr>
        <w:tc>
          <w:tcPr>
            <w:tcW w:w="798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 to 8.2</w:t>
            </w: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 to 8.7</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5.3% to 53.8%</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5.2% to 53.8%</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16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any of these assumptions in isolation would result in a significantly higher or lower fair value. </w:t>
      </w:r>
      <w:r>
        <w:rPr>
          <w:rFonts w:ascii="Times New Roman" w:cs="Times New Roman" w:eastAsia="Times New Roman" w:hAnsi="Times New Roman"/>
          <w:sz w:val="18"/>
          <w:szCs w:val="18"/>
          <w:i w:val="1"/>
          <w:iCs w:val="1"/>
          <w:color w:val="auto"/>
        </w:rPr>
        <w:t>MSRs Pledged</w:t>
      </w:r>
    </w:p>
    <w:p>
      <w:pPr>
        <w:spacing w:after="0" w:line="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periodically sell the right to receive servicing fees, excluding ancillary income (other than net income on custodial and escrow accounts), relating to certain of our MSRs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Fair value is determined using the mid-point of the range of prices provided by third-party valuation experts. Since we have elected fair value for our portfolio of non-Agency MSRs, future fair value changes in the Financing Liability - MSRs Pledged will be largely offset by changes in the fair value of the related MSRs.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more significant assumptions used in determination of the prices of the underlying MSRs consisted of the following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2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financing cost</w:t>
            </w:r>
          </w:p>
        </w:tc>
        <w:tc>
          <w:tcPr>
            <w:tcW w:w="18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ind w:left="60"/>
              <w:spacing w:after="0"/>
              <w:rPr>
                <w:sz w:val="20"/>
                <w:szCs w:val="20"/>
                <w:color w:val="auto"/>
              </w:rPr>
            </w:pPr>
            <w:r>
              <w:rPr>
                <w:rFonts w:ascii="Times New Roman" w:cs="Times New Roman" w:eastAsia="Times New Roman" w:hAnsi="Times New Roman"/>
                <w:sz w:val="18"/>
                <w:szCs w:val="18"/>
                <w:color w:val="auto"/>
              </w:rPr>
              <w:t>1ML plus 3.5%</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1ML plus 3.5%</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18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1ML</w:t>
            </w:r>
          </w:p>
        </w:tc>
        <w:tc>
          <w:tcPr>
            <w:tcW w:w="1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1ML</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313</w:t>
            </w:r>
          </w:p>
        </w:tc>
      </w:tr>
    </w:tbl>
    <w:p>
      <w:pPr>
        <w:spacing w:after="0" w:line="117" w:lineRule="exact"/>
        <w:rPr>
          <w:sz w:val="20"/>
          <w:szCs w:val="20"/>
          <w:color w:val="auto"/>
        </w:rPr>
      </w:pPr>
    </w:p>
    <w:p>
      <w:pPr>
        <w:ind w:right="21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these assumptions in isolation would result in a significantly higher or lower fair value. </w:t>
      </w:r>
      <w:r>
        <w:rPr>
          <w:rFonts w:ascii="Times New Roman" w:cs="Times New Roman" w:eastAsia="Times New Roman" w:hAnsi="Times New Roman"/>
          <w:sz w:val="18"/>
          <w:szCs w:val="18"/>
          <w:i w:val="1"/>
          <w:iCs w:val="1"/>
          <w:color w:val="auto"/>
        </w:rPr>
        <w:t>Secured Notes</w:t>
      </w:r>
    </w:p>
    <w:p>
      <w:pPr>
        <w:spacing w:after="0" w:line="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Secured Borrowings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quoted prices in a market with limited trading activity.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base the fair value on quoted prices in a market with limited trading activity.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use interest rate caps to minimize future interest rate exposure on variable rate debt issued on servicing advance financing facilities from increases in one-month LIBOR interest rates. The fair value for interest rate caps is based on counterparty market prices and adjusted for counterparty credit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Sales of Advances and MSRs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and 2016, we sold MSRs relating to Agency and non-Agency loans with a UPB of $134.7 million and $214.4 million, respectively.</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2012 and 2013, we sold Rights to MSRs with respect to certain non-Agency MSRs and the related servicing advances to Home Loan Servicing Solutions, Ltd. (HLSS), an indirect wholly-owned subsidiary of NRZ. We refer to the sale of Rights to MSRs and the related servicing advances as the NRZ/HLSS Transactions. As of June 30, 2017, these Rights to MSRs relate to approximately $109.6 billion in UPB of our non-Agency MSRs. At June 30, 2017, NRZ had outstanding advances of approximately $3.4 billion in connection with the Rights to MSRs.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July 23, 2017, we executed on our previously announced agreement in principle with NRZ to convert NRZ’s existing Rights to MSRs to fully-owned MSRs. We entered into a master agreement (Master Agreement), a transfer agreement (Transfer Agreement) and a subservicing agreement (Subservicing Agreement) pursuant to which the parties agreed to undertake certain actions to facilitate the transfer of the MSRs underlying the Rights to MSRs to NRZ and under which Ocwen will subservice the MSRs for an initial term of five years (Initial Term). Upon obtaining the required third party consents, and upon transfer of the MSRs, NRZ will pay a lump sum restructuring fee to us, with the amount determined in accordance with the Master Agreement as of each transfer date. In the event third party consents are not received by July 23, 2018, or earlier if mutually agreed, any non-transferred MSRs may (i) become subject to a new mortgage servicing rights agreement to be negotiated between Ocwen and NRZ, (ii) be acquired by Ocwen or, if Ocwen does not desire or is otherwise unable to purchase, sold to a third party in accordance with the terms of the Master Agreement, or (iii) remain subject to the terms of the existing 2012 and 2013 agreements.</w:t>
      </w:r>
    </w:p>
    <w:p>
      <w:pPr>
        <w:spacing w:after="0" w:line="18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Subservicing Agreement, in addition to a base servicing fee, Ocwen will continue to receive ancillary income, which primarily includes late fees, HAMP or other loan modification fees and Speedpay fees, but does not include float earnings or REO referral commissions. NRZ will receive all deferred servicing fees related to delinquent borrower payments.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At any time during the Initial Term, NRZ may terminate the Subservicing Agreement for convenience, subject to Ocwen’s right to receive a termination fee and proper notice. Following the Initial Term, NRZ may extend the term of the Subservicing Agreement for additional three-month periods by providing proper notice. Following the Initial Term, the Subservicing Agreement can be cancelled by Ocwen on an annual basis. NRZ and Ocwen have the ability to terminate the Subservicing Agreement for cause if certain conditions specified in the Subservicing Agreement occur.</w:t>
      </w:r>
    </w:p>
    <w:p>
      <w:pPr>
        <w:spacing w:after="0" w:line="7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Until such time as the MSRs are transferred to NRZ, the terms of the existing 2012 and 2013 agreements will remain in force. Under these agreements, the servicing fees payable under the servicing agreements underlying the Rights to MSRs are apportioned between NRZ and us. NRZ retains a fee based on the UPB of the loans serviced, and OLS receives certain fees, including a performance fee based on servicing fees actually paid less an amount calculated based on the amount of servicing advances and cost of financing those advances. In addition, under the July 2017 agreements, NRZ has agreed to a standstill through January 23, 2019, subject to limited exceptions, on exercising rights it would otherwise have under the existing 2012</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4" w:right="239" w:bottom="1440" w:gutter="0" w:footer="0" w:header="0"/>
        </w:sectPr>
      </w:pPr>
    </w:p>
    <w:bookmarkStart w:id="23" w:name="page24"/>
    <w:bookmarkEnd w:id="23"/>
    <w:p>
      <w:pPr>
        <w:ind w:right="580"/>
        <w:spacing w:after="0" w:line="282" w:lineRule="auto"/>
        <w:rPr>
          <w:sz w:val="20"/>
          <w:szCs w:val="20"/>
          <w:color w:val="auto"/>
        </w:rPr>
      </w:pPr>
      <w:r>
        <w:rPr>
          <w:rFonts w:ascii="Times New Roman" w:cs="Times New Roman" w:eastAsia="Times New Roman" w:hAnsi="Times New Roman"/>
          <w:sz w:val="18"/>
          <w:szCs w:val="18"/>
          <w:color w:val="auto"/>
        </w:rPr>
        <w:t>and 2013 agreements to replace Ocwen as servicer of certain MSRs in the event of a termination event with respect to an affected servicing agreement underlying the MSRs resulting from a servicer rating downgrade.</w:t>
      </w:r>
    </w:p>
    <w:p>
      <w:pPr>
        <w:spacing w:after="0" w:line="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Rights to MSRs transactions are accounted for as financings. Upon transfer of the MSRs to NRZ in accordance with the July 2017 agreements (which would follow receipt of the necessary third-party consents), we will determine whether the requirements for sale accounting have been met. Until derecognition, we will continue to recognize the MSRs and related financing liability on our consolidated balance sheet as well as the full amount of servicing revenue and changes in the fair value of the MSRs in our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Loans Held for Sale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Held for Sale - Fair Value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the balance: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309,054</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1,924,514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(1,603,889)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(1,910,019)</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Transfers from loans held for sale at lower of cost or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sale of loans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Increase in fair value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4,266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239,490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339,687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2017 and 2016, the balances include $8.7 million and $16.2 million, respectively, of fair value adjustments.</w:t>
      </w:r>
    </w:p>
    <w:p>
      <w:pPr>
        <w:spacing w:after="0" w:line="10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At June 30, 2017, loans held for sale, at fair value with a UPB of $229.6 million were pledged as collateral to warehouse lines of credit in our Lending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Held for Sale - Lower of Cost or Fair Value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the net balance: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29,374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104,992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958,610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(607,181)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(856,426)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(96,918)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(137,605)</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(loss)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12,962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(increase) in valuation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Ending balance </w:t>
            </w:r>
            <w:r>
              <w:rPr>
                <w:rFonts w:ascii="Times New Roman" w:cs="Times New Roman" w:eastAsia="Times New Roman" w:hAnsi="Times New Roman"/>
                <w:sz w:val="18"/>
                <w:szCs w:val="18"/>
                <w:color w:val="auto"/>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62,103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580" w:hanging="492"/>
        <w:spacing w:after="0" w:line="263"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2017 and 2016, the balances include $16.0 million and $45.5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in the valuation allowance are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17,993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14,658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Transfer from liability for indemnification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of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6,491</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15,933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June 30, 2017, Loans held for sale, at lower of cost or fair value, with a UPB of $8.1 million were pledged as collateral to a warehouse line of credit in our Servicing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Loans Held for Sale,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Gain on loans held for sale,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MSRs retained on transfers of forward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6,906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9,002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15,486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gains related to transfers of reverse mortgage loans,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sale of repurchased Ginnie Mae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4,753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12,962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gains (losses) related to loans held for sale,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sales of loans,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36,467</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19,086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53,379</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37,025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18,191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21,713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economic hedge instruments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28,255</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Advances, net, which represent payments made on behalf of borrowers or on foreclosed properties, consisted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Principal and interest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31,334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and insurance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170,131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Foreclosures, bankruptcy and 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75,669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94,369</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239,542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295,834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Allowance for losses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(20,328)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(37,952)</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219,214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257,882</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Advances at June 30, 2017 and December 31, 2016 include $23.0 million and $29.0 million, respectively, of previously sold advances in connection with sales of loans that did not qualify for sale accounting.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in net advances: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560" w:type="dxa"/>
            <w:vAlign w:val="bottom"/>
            <w:tcBorders>
              <w:bottom w:val="single" w:sz="8" w:color="EAF9E8"/>
            </w:tcBorders>
          </w:tcPr>
          <w:p>
            <w:pPr>
              <w:spacing w:after="0"/>
              <w:rPr>
                <w:sz w:val="2"/>
                <w:szCs w:val="2"/>
                <w:color w:val="auto"/>
              </w:rPr>
            </w:pPr>
          </w:p>
        </w:tc>
        <w:tc>
          <w:tcPr>
            <w:tcW w:w="9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2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5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EAF9E8"/>
              <w:right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257,882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444,298</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of advances</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Collections of advances, charge-offs and other, net</w:t>
            </w:r>
          </w:p>
        </w:tc>
        <w:tc>
          <w:tcPr>
            <w:tcW w:w="5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right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(56,218)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in allowance for losses</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560" w:type="dxa"/>
            <w:vAlign w:val="bottom"/>
            <w:tcBorders>
              <w:bottom w:val="single" w:sz="8" w:color="EAF9E8"/>
            </w:tcBorders>
          </w:tcPr>
          <w:p>
            <w:pPr>
              <w:spacing w:after="0"/>
              <w:rPr>
                <w:sz w:val="2"/>
                <w:szCs w:val="2"/>
                <w:color w:val="auto"/>
              </w:rPr>
            </w:pPr>
          </w:p>
        </w:tc>
        <w:tc>
          <w:tcPr>
            <w:tcW w:w="9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56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219,214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329,228</w:t>
            </w:r>
          </w:p>
        </w:tc>
        <w:tc>
          <w:tcPr>
            <w:tcW w:w="20" w:type="dxa"/>
            <w:vAlign w:val="bottom"/>
            <w:tcBorders>
              <w:bottom w:val="single" w:sz="8" w:color="auto"/>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The changes in the allowance for losses are as follows:</w:t>
            </w: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Borders>
              <w:right w:val="single" w:sz="8" w:color="EAF9E8"/>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shd w:val="clear" w:color="auto" w:fill="EAF9E8"/>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EAF9E8"/>
            </w:tcBorders>
          </w:tcPr>
          <w:p>
            <w:pPr>
              <w:spacing w:after="0"/>
              <w:rPr>
                <w:sz w:val="2"/>
                <w:szCs w:val="2"/>
                <w:color w:val="auto"/>
              </w:rPr>
            </w:pPr>
          </w:p>
        </w:tc>
        <w:tc>
          <w:tcPr>
            <w:tcW w:w="100" w:type="dxa"/>
            <w:vAlign w:val="bottom"/>
            <w:tcBorders>
              <w:bottom w:val="single" w:sz="8" w:color="EAF9E8"/>
            </w:tcBorders>
            <w:shd w:val="clear" w:color="auto" w:fill="EAF9E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560" w:type="dxa"/>
            <w:vAlign w:val="bottom"/>
            <w:tcBorders>
              <w:bottom w:val="single" w:sz="8" w:color="EAF9E8"/>
            </w:tcBorders>
            <w:shd w:val="clear" w:color="auto" w:fill="EAF9E8"/>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35,844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42,523</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right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37,952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41,901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EAF9E8"/>
            </w:tcBorders>
            <w:shd w:val="clear" w:color="auto" w:fill="EAF9E8"/>
          </w:tcPr>
          <w:p>
            <w:pPr>
              <w:spacing w:after="0"/>
              <w:rPr>
                <w:sz w:val="23"/>
                <w:szCs w:val="23"/>
                <w:color w:val="auto"/>
              </w:rPr>
            </w:pPr>
          </w:p>
        </w:tc>
        <w:tc>
          <w:tcPr>
            <w:tcW w:w="512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Charge-offs, net and other</w:t>
            </w:r>
          </w:p>
        </w:tc>
        <w:tc>
          <w:tcPr>
            <w:tcW w:w="56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right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20,328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Match Funded Assets</w:t>
            </w: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Match funded assets are comprised of the following at the dates indicated: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560" w:type="dxa"/>
            <w:vAlign w:val="bottom"/>
            <w:tcBorders>
              <w:bottom w:val="single" w:sz="8" w:color="EAF9E8"/>
            </w:tcBorders>
          </w:tcPr>
          <w:p>
            <w:pPr>
              <w:spacing w:after="0"/>
              <w:rPr>
                <w:sz w:val="2"/>
                <w:szCs w:val="2"/>
                <w:color w:val="auto"/>
              </w:rPr>
            </w:pPr>
          </w:p>
        </w:tc>
        <w:tc>
          <w:tcPr>
            <w:tcW w:w="9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Advances:</w:t>
            </w:r>
          </w:p>
        </w:tc>
        <w:tc>
          <w:tcPr>
            <w:tcW w:w="5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right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and interest</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593,630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Taxes and insurance</w:t>
            </w:r>
          </w:p>
        </w:tc>
        <w:tc>
          <w:tcPr>
            <w:tcW w:w="5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right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468,102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530,946</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Foreclosures, bankruptcy, real estate and other</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560" w:type="dxa"/>
            <w:vAlign w:val="bottom"/>
            <w:tcBorders>
              <w:bottom w:val="single" w:sz="8" w:color="EAF9E8"/>
            </w:tcBorders>
          </w:tcPr>
          <w:p>
            <w:pPr>
              <w:spacing w:after="0"/>
              <w:rPr>
                <w:sz w:val="2"/>
                <w:szCs w:val="2"/>
                <w:color w:val="auto"/>
              </w:rPr>
            </w:pPr>
          </w:p>
        </w:tc>
        <w:tc>
          <w:tcPr>
            <w:tcW w:w="9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right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1,259,041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1,451,964</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dealer financing notes (1)</w:t>
            </w: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5120" w:type="dxa"/>
            <w:vAlign w:val="bottom"/>
            <w:tcBorders>
              <w:bottom w:val="single" w:sz="8" w:color="EAF9E8"/>
            </w:tcBorders>
          </w:tcPr>
          <w:p>
            <w:pPr>
              <w:spacing w:after="0"/>
              <w:rPr>
                <w:sz w:val="2"/>
                <w:szCs w:val="2"/>
                <w:color w:val="auto"/>
              </w:rPr>
            </w:pPr>
          </w:p>
        </w:tc>
        <w:tc>
          <w:tcPr>
            <w:tcW w:w="560" w:type="dxa"/>
            <w:vAlign w:val="bottom"/>
            <w:tcBorders>
              <w:bottom w:val="single" w:sz="8" w:color="EAF9E8"/>
            </w:tcBorders>
          </w:tcPr>
          <w:p>
            <w:pPr>
              <w:spacing w:after="0"/>
              <w:rPr>
                <w:sz w:val="2"/>
                <w:szCs w:val="2"/>
                <w:color w:val="auto"/>
              </w:rPr>
            </w:pPr>
          </w:p>
        </w:tc>
        <w:tc>
          <w:tcPr>
            <w:tcW w:w="9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EAF9E8"/>
            </w:tcBorders>
          </w:tcPr>
          <w:p>
            <w:pPr>
              <w:spacing w:after="0"/>
              <w:rPr>
                <w:sz w:val="2"/>
                <w:szCs w:val="2"/>
                <w:color w:val="auto"/>
              </w:rPr>
            </w:pPr>
          </w:p>
        </w:tc>
        <w:tc>
          <w:tcPr>
            <w:tcW w:w="9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EAF9E8"/>
            </w:tcBorders>
            <w:shd w:val="clear" w:color="auto" w:fill="EAF9E8"/>
          </w:tcPr>
          <w:p>
            <w:pPr>
              <w:spacing w:after="0"/>
              <w:rPr>
                <w:sz w:val="22"/>
                <w:szCs w:val="22"/>
                <w:color w:val="auto"/>
              </w:rPr>
            </w:pPr>
          </w:p>
        </w:tc>
        <w:tc>
          <w:tcPr>
            <w:tcW w:w="512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EAF9E8"/>
              <w:right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1,292,908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1,451,964</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EAF9E8"/>
            </w:tcBorders>
          </w:tcPr>
          <w:p>
            <w:pPr>
              <w:spacing w:after="0" w:line="20" w:lineRule="exact"/>
              <w:rPr>
                <w:sz w:val="1"/>
                <w:szCs w:val="1"/>
                <w:color w:val="auto"/>
              </w:rPr>
            </w:pPr>
          </w:p>
        </w:tc>
        <w:tc>
          <w:tcPr>
            <w:tcW w:w="5120" w:type="dxa"/>
            <w:vAlign w:val="bottom"/>
            <w:tcBorders>
              <w:top w:val="single" w:sz="8" w:color="EAF9E8"/>
            </w:tcBorders>
          </w:tcPr>
          <w:p>
            <w:pPr>
              <w:spacing w:after="0" w:line="20" w:lineRule="exact"/>
              <w:rPr>
                <w:sz w:val="1"/>
                <w:szCs w:val="1"/>
                <w:color w:val="auto"/>
              </w:rPr>
            </w:pPr>
          </w:p>
        </w:tc>
        <w:tc>
          <w:tcPr>
            <w:tcW w:w="560" w:type="dxa"/>
            <w:vAlign w:val="bottom"/>
            <w:tcBorders>
              <w:top w:val="single" w:sz="8" w:color="EAF9E8"/>
            </w:tcBorders>
          </w:tcPr>
          <w:p>
            <w:pPr>
              <w:spacing w:after="0" w:line="20" w:lineRule="exact"/>
              <w:rPr>
                <w:sz w:val="1"/>
                <w:szCs w:val="1"/>
                <w:color w:val="auto"/>
              </w:rPr>
            </w:pPr>
          </w:p>
        </w:tc>
        <w:tc>
          <w:tcPr>
            <w:tcW w:w="9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EAF9E8"/>
            </w:tcBorders>
          </w:tcPr>
          <w:p>
            <w:pPr>
              <w:spacing w:after="0" w:line="20" w:lineRule="exact"/>
              <w:rPr>
                <w:sz w:val="1"/>
                <w:szCs w:val="1"/>
                <w:color w:val="auto"/>
              </w:rPr>
            </w:pPr>
          </w:p>
        </w:tc>
        <w:tc>
          <w:tcPr>
            <w:tcW w:w="9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24, 2017 and on March 17, 2017, we entered into loan agreements under a new automotive dealer loan financing facility to which these notes are pledged.</w:t>
      </w:r>
    </w:p>
    <w:p>
      <w:pPr>
        <w:spacing w:after="0" w:line="108"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summarizes the activity in match funded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Automotive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Dealer Financing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0" w:type="dxa"/>
            <w:vAlign w:val="bottom"/>
          </w:tcPr>
          <w:p>
            <w:pPr>
              <w:spacing w:after="0"/>
              <w:rPr>
                <w:sz w:val="1"/>
                <w:szCs w:val="1"/>
                <w:color w:val="auto"/>
              </w:rPr>
            </w:pPr>
          </w:p>
        </w:tc>
      </w:tr>
      <w:tr>
        <w:trPr>
          <w:trHeight w:val="27"/>
        </w:trPr>
        <w:tc>
          <w:tcPr>
            <w:tcW w:w="4980" w:type="dxa"/>
            <w:vAlign w:val="bottom"/>
            <w:tcBorders>
              <w:bottom w:val="single" w:sz="8" w:color="EAF9E8"/>
            </w:tcBorders>
          </w:tcPr>
          <w:p>
            <w:pPr>
              <w:spacing w:after="0"/>
              <w:rPr>
                <w:sz w:val="2"/>
                <w:szCs w:val="2"/>
                <w:color w:val="auto"/>
              </w:rPr>
            </w:pPr>
          </w:p>
        </w:tc>
        <w:tc>
          <w:tcPr>
            <w:tcW w:w="17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02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1,451,964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1,706,768</w:t>
            </w: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Transfer from Other assets</w:t>
            </w: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Sales</w:t>
            </w:r>
          </w:p>
        </w:tc>
        <w:tc>
          <w:tcPr>
            <w:tcW w:w="176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advances/notes (Collections of pledged assets), net</w:t>
            </w: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EAF9E8"/>
            </w:tcBorders>
          </w:tcPr>
          <w:p>
            <w:pPr>
              <w:spacing w:after="0"/>
              <w:rPr>
                <w:sz w:val="2"/>
                <w:szCs w:val="2"/>
                <w:color w:val="auto"/>
              </w:rPr>
            </w:pPr>
          </w:p>
        </w:tc>
        <w:tc>
          <w:tcPr>
            <w:tcW w:w="17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20" w:type="dxa"/>
            <w:vAlign w:val="bottom"/>
            <w:gridSpan w:val="2"/>
            <w:shd w:val="clear" w:color="auto" w:fill="EAF9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1,259,041</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33,867</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1,614,447</w:t>
            </w:r>
          </w:p>
        </w:tc>
        <w:tc>
          <w:tcPr>
            <w:tcW w:w="0" w:type="dxa"/>
            <w:vAlign w:val="bottom"/>
          </w:tcPr>
          <w:p>
            <w:pPr>
              <w:spacing w:after="0"/>
              <w:rPr>
                <w:sz w:val="1"/>
                <w:szCs w:val="1"/>
                <w:color w:val="auto"/>
              </w:rPr>
            </w:pPr>
          </w:p>
        </w:tc>
      </w:tr>
      <w:tr>
        <w:trPr>
          <w:trHeight w:val="20"/>
        </w:trPr>
        <w:tc>
          <w:tcPr>
            <w:tcW w:w="4980" w:type="dxa"/>
            <w:vAlign w:val="bottom"/>
            <w:tcBorders>
              <w:top w:val="single" w:sz="8" w:color="EAF9E8"/>
            </w:tcBorders>
          </w:tcPr>
          <w:p>
            <w:pPr>
              <w:spacing w:after="0" w:line="20" w:lineRule="exact"/>
              <w:rPr>
                <w:sz w:val="1"/>
                <w:szCs w:val="1"/>
                <w:color w:val="auto"/>
              </w:rPr>
            </w:pPr>
          </w:p>
        </w:tc>
        <w:tc>
          <w:tcPr>
            <w:tcW w:w="1760" w:type="dxa"/>
            <w:vAlign w:val="bottom"/>
            <w:tcBorders>
              <w:top w:val="single" w:sz="8" w:color="EAF9E8"/>
              <w:bottom w:val="single" w:sz="8" w:color="EAF9E8"/>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8 – Mortgage Servicing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changes in the net carrying value of servicing assets that we account for using the amortization method: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363,722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377,379</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Additions recognized in connection with asset acquisitions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Additions recognized on the sale of mortgage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16,668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transfers and adjustments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379,597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406,657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(21,153)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impairment valuation allowance (1)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349,535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346,474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 fair value at end of period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440,311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367,951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81"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MSRs is recognized in Servicing and origination expense in the unaudited consolidated statements of operations. See Note 3 – Fair Value for additional information regarding impairment and the valuation allowance.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 – Fair Value Measurement Method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changes in the fair value of servicing assets that we account for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13,357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665,899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679,256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746,119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761,190</w:t>
            </w:r>
          </w:p>
        </w:tc>
      </w:tr>
      <w:tr>
        <w:trPr>
          <w:trHeight w:val="243"/>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6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transfers and</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41"/>
        </w:trPr>
        <w:tc>
          <w:tcPr>
            <w:tcW w:w="26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43"/>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(1):</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64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Changes in valuation inputs or</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41"/>
        </w:trPr>
        <w:tc>
          <w:tcPr>
            <w:tcW w:w="264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other assumptions</w:t>
            </w:r>
          </w:p>
        </w:tc>
        <w:tc>
          <w:tcPr>
            <w:tcW w:w="2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25"/>
        </w:trPr>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Realization of expected future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flows and other changes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(54,071)</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613,207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625,650</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691,485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700,668</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fair value are recognized in Servicing and origination expense in the unaudited consolidated statements of operations.</w:t>
      </w:r>
    </w:p>
    <w:p>
      <w:pPr>
        <w:spacing w:after="0" w:line="10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June 30, 2017 given hypothetical shifts in lifetime prepayments and yield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(62,510)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(126,738)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 (option-adjusted spread)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(25,421)</w:t>
            </w:r>
          </w:p>
        </w:tc>
      </w:tr>
    </w:tbl>
    <w:p>
      <w:pPr>
        <w:spacing w:after="0" w:line="33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sensitivity analysis measures the potential impact on fair values based on hypothetical changes, which in the case of our portfolio at June 30, 2017 are increased prepayment speeds and a decrease in the yield assumption.</w:t>
      </w:r>
    </w:p>
    <w:p>
      <w:pPr>
        <w:sectPr>
          <w:pgSz w:w="11900" w:h="16838" w:orient="portrait"/>
          <w:cols w:equalWidth="0" w:num="1">
            <w:col w:w="11420"/>
          </w:cols>
          <w:pgMar w:left="240" w:top="576"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6" w:right="2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unaudited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UPB at June 30, 2017</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81,319,908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81,319,908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3,869,084</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53,127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3,922,211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109,609,432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109,609,432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194,798,424</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53,127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194,851,551</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bottom w:val="single" w:sz="8" w:color="EAF9E8"/>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UPB at December 31, 2016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86,049,298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86,049,298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4,330,084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4,423,017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NRZ (1)</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118,712,748</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118,712,748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209,092,130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92,933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209,185,063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UPB at June 30, 2016</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95,101,820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95,101,820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6,086,568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144,639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6,231,207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128,087,613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128,087,613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229,276,001</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144,639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229,420,640</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UPB of loans serviced for which the Rights to MSRs have been sold to NRZ.</w:t>
      </w:r>
    </w:p>
    <w:p>
      <w:pPr>
        <w:spacing w:after="0" w:line="10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Residential assets serviced includes foreclosed real estate. Residential assets serviced also includes small-balance commercial assets with a UPB of $1.0 billion, $1.4 billion and $1.6 billion at June 30, 2017, December 31, 2016 and June 30, 2016, respectively. Commercial assets consist of large-balance foreclosed real estate.</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7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rating agencies will assign an outlook (or a ratings watch) to the rating status of a mortgage servicer. A negative outlook is generally used to indicate that a rating “may be lowered,” while a positive outlook is generally used to indicate a rating “may be raised.” S&amp;P’s servicer ratings outlook for Ocwen is stable in general and its outlook for master servicing is positive. Fitch Ratings changed the servicer ratings Outlook to Negative from Stable on April 25, 2017. Moody’s placed the servicer ratings on Review for Downgrade on April 24, 2017. Morningstar changed its forecast to On Alert from Positive on April 25, 2017. None of these three ratings has subsequently changed since these actions.</w:t>
      </w:r>
    </w:p>
    <w:p>
      <w:pPr>
        <w:spacing w:after="0" w:line="1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Certain of our servicing agreements require that we maintain specified servicer ratings from rating agencies such as Moody’s and S&amp;P. Of 3,709 non-Agency servicing agreements, 718 with approximately $31.9 billion of UPB as of June 30, 2017 have minimum servicer ratings criteria. As a result of our current servicer ratings, termination rights have been triggered in 174 of these non-Agency servicing agreements. This represents approximately $10.1 billion in UPB as of June 30, 2017, or approximately 7.0% of our total non-Agency servicing portfolio.</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6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Servicing 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servicing and subservicing fees: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66,018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134,640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8,447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143,612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290,923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322,647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211,594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240,798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429,681</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486,675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Late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Home Affordable Modification Program (HAMP)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10,506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33,493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31,489</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56,111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collection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12,155</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22,484</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11,782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255,801</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307,262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528,303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604,758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$2.2 billion and $2.7 billion at June 30, 2017 and June 30, 2016,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Receivables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Government-insured loan claims, net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133,063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33,555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29,358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custodial accounts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44,761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Due from NRZ</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24,786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21,837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27,086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225,166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256,105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61,932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receivables (2)</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55,440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21,125</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319,949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339,162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Allowance for losses (1)</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(67,152)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(73,442)</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252,797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265,720</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220" w:hanging="492"/>
        <w:spacing w:after="0" w:line="254" w:lineRule="auto"/>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2017 and December 31, 2016, the allowance for losses related entirely to receivables of our Servicing business. Allowance for losses related to defaulted FHA or VA insured loans repurchased from Ginnie Mae guaranteed securitizations (government-insured loan claims) at June 30, 2017 and December 31, 2016 were $46.6 million and $53.3 million, respectively.</w:t>
      </w:r>
    </w:p>
    <w:p>
      <w:pPr>
        <w:spacing w:after="0" w:line="1" w:lineRule="exact"/>
        <w:rPr>
          <w:rFonts w:ascii="Times New Roman" w:cs="Times New Roman" w:eastAsia="Times New Roman" w:hAnsi="Times New Roman"/>
          <w:sz w:val="16"/>
          <w:szCs w:val="16"/>
          <w:color w:val="auto"/>
        </w:rPr>
      </w:pPr>
    </w:p>
    <w:p>
      <w:pPr>
        <w:ind w:left="500" w:right="340" w:hanging="492"/>
        <w:spacing w:after="0" w:line="257" w:lineRule="auto"/>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2017, the balance includes $22.9 million in connection with the recovery of prior legal settlement expenses and $14.0 million for insurance recovery in connection with accrued legal fees and settlements outstanding at June 30, 2017.</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6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Other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Contingent loan repurchase asset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246,348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246,081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57,188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Debt service accounts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40,968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42,822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Mortgage backed securities,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8,342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lender fees,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8,392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Interest-earning time deposits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5,249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 dealer financing notes, net</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33,224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15,330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12,050</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399,672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438,104</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20" w:hanging="492"/>
        <w:spacing w:after="0" w:line="258" w:lineRule="auto"/>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previously transferred Ginnie Mae mortgage loans for which we have the right or the obligation to repurchase under the applicable agreement, we re-recognize the loans in Other assets and a corresponding liability in Other liabilities.</w:t>
      </w:r>
    </w:p>
    <w:p>
      <w:pPr>
        <w:ind w:left="500" w:right="300" w:hanging="492"/>
        <w:spacing w:after="0" w:line="252" w:lineRule="auto"/>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sale of Agency MSRs in 2015, we placed $52.9 million in escrow for the payment of representation, warranty and indemnification claims associated with the underlying loans. Prepaid expenses at June 30, 2017 and December 31, 2016 includes the remaining balance of $36.6 million and $34.9 million, respectively.</w:t>
      </w:r>
    </w:p>
    <w:p>
      <w:pPr>
        <w:spacing w:after="0" w:line="73" w:lineRule="exact"/>
        <w:rPr>
          <w:sz w:val="20"/>
          <w:szCs w:val="20"/>
          <w:color w:val="auto"/>
        </w:rPr>
      </w:pPr>
    </w:p>
    <w:p>
      <w:pPr>
        <w:ind w:left="60" w:right="200" w:firstLine="324"/>
        <w:spacing w:after="0" w:line="266" w:lineRule="auto"/>
        <w:rPr>
          <w:sz w:val="20"/>
          <w:szCs w:val="20"/>
          <w:color w:val="auto"/>
        </w:rPr>
      </w:pPr>
      <w:r>
        <w:rPr>
          <w:rFonts w:ascii="Times New Roman" w:cs="Times New Roman" w:eastAsia="Times New Roman" w:hAnsi="Times New Roman"/>
          <w:sz w:val="18"/>
          <w:szCs w:val="18"/>
          <w:color w:val="auto"/>
        </w:rPr>
        <w:t>Automotive dealer financing notes represent short-term inventory-secured floor plan loans – provided to independent used car dealerships through our Automotive Capital Services (ACS) venture – that have not been pledged to our automotive dealer loan financing facility. These notes are net of an allowance of $9.6 million and $4.4 million at June 30, 2017 and December 31, 2016, respectively. Changes in the allowance are as follows: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10,516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4,371</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5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9,586</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9,586</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00" w:type="dxa"/>
            <w:vAlign w:val="bottom"/>
          </w:tcPr>
          <w:p>
            <w:pPr>
              <w:spacing w:after="0"/>
              <w:rPr>
                <w:sz w:val="24"/>
                <w:szCs w:val="24"/>
                <w:color w:val="auto"/>
              </w:rPr>
            </w:pPr>
          </w:p>
        </w:tc>
        <w:tc>
          <w:tcPr>
            <w:tcW w:w="2420" w:type="dxa"/>
            <w:vAlign w:val="bottom"/>
            <w:gridSpan w:val="4"/>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7"/>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Available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Amorti- zation</w:t>
            </w:r>
          </w:p>
        </w:tc>
        <w:tc>
          <w:tcPr>
            <w:tcW w:w="12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276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Borrowing Type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Maturity (1)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Date (1)</w:t>
            </w: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Capacity (2)</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 (3)</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Interest Rate (3)</w:t>
            </w: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Advance Financing Facilities:</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r>
      <w:tr>
        <w:trPr>
          <w:trHeight w:val="21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Series 2014-VF3 (4)</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 2047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47,173</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74,394</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23"/>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Series 2014-VF4 (4)</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rPr>
              <w:t>Aug. 2047</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Times New Roman" w:cs="Times New Roman" w:eastAsia="Times New Roman" w:hAnsi="Times New Roman"/>
                <w:sz w:val="16"/>
                <w:szCs w:val="16"/>
                <w:color w:val="auto"/>
              </w:rPr>
              <w:t>Aug. 2017</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47,174</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22,826</w:t>
            </w:r>
          </w:p>
        </w:tc>
        <w:tc>
          <w:tcPr>
            <w:tcW w:w="1300" w:type="dxa"/>
            <w:vAlign w:val="bottom"/>
            <w:tcBorders>
              <w:bottom w:val="single" w:sz="8" w:color="EAF9E8"/>
            </w:tcBorders>
            <w:gridSpan w:val="2"/>
            <w:shd w:val="clear" w:color="auto" w:fill="EAF9E8"/>
          </w:tcPr>
          <w:p>
            <w:pPr>
              <w:jc w:val="right"/>
              <w:ind w:right="98"/>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74,394</w:t>
            </w:r>
          </w:p>
        </w:tc>
      </w:tr>
      <w:tr>
        <w:trPr>
          <w:trHeight w:val="21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Series 2015-VF5 (4)</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 2047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 2017</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47,174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22,826</w:t>
            </w:r>
          </w:p>
        </w:tc>
        <w:tc>
          <w:tcPr>
            <w:tcW w:w="13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74,394</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23"/>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Series 2015-T3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w w:val="97"/>
              </w:rPr>
              <w:t>Nov. 2047</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w w:val="97"/>
              </w:rPr>
              <w:t>Nov. 2017</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400,000</w:t>
            </w:r>
          </w:p>
        </w:tc>
        <w:tc>
          <w:tcPr>
            <w:tcW w:w="1300" w:type="dxa"/>
            <w:vAlign w:val="bottom"/>
            <w:tcBorders>
              <w:bottom w:val="single" w:sz="8" w:color="EAF9E8"/>
            </w:tcBorders>
            <w:gridSpan w:val="2"/>
            <w:shd w:val="clear" w:color="auto" w:fill="EAF9E8"/>
          </w:tcPr>
          <w:p>
            <w:pPr>
              <w:jc w:val="right"/>
              <w:ind w:right="98"/>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1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Series 2016-T1 (5)</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 2048</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 2018</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265,000</w:t>
            </w:r>
          </w:p>
        </w:tc>
        <w:tc>
          <w:tcPr>
            <w:tcW w:w="13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265,000</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6"/>
                <w:szCs w:val="16"/>
                <w:color w:val="auto"/>
              </w:rPr>
              <w:t>Advance Receivables Backed Notes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43"/>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Series 2016-T2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rPr>
              <w:t>Aug. 2049</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Times New Roman" w:cs="Times New Roman" w:eastAsia="Times New Roman" w:hAnsi="Times New Roman"/>
                <w:sz w:val="16"/>
                <w:szCs w:val="16"/>
                <w:color w:val="auto"/>
              </w:rPr>
              <w:t>Aug. 2019</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235,000</w:t>
            </w:r>
          </w:p>
        </w:tc>
        <w:tc>
          <w:tcPr>
            <w:tcW w:w="1300" w:type="dxa"/>
            <w:vAlign w:val="bottom"/>
            <w:tcBorders>
              <w:bottom w:val="single" w:sz="8" w:color="EAF9E8"/>
            </w:tcBorders>
            <w:gridSpan w:val="2"/>
            <w:shd w:val="clear" w:color="auto" w:fill="EAF9E8"/>
          </w:tcPr>
          <w:p>
            <w:pPr>
              <w:jc w:val="right"/>
              <w:ind w:right="98"/>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235,000</w:t>
            </w:r>
          </w:p>
        </w:tc>
      </w:tr>
      <w:tr>
        <w:trPr>
          <w:trHeight w:val="194"/>
        </w:trPr>
        <w:tc>
          <w:tcPr>
            <w:tcW w:w="27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Ocwen Master Advance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12"/>
        </w:trPr>
        <w:tc>
          <w:tcPr>
            <w:tcW w:w="27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Receivables Trust (OMART)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141,521</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968,479</w:t>
            </w:r>
          </w:p>
        </w:tc>
        <w:tc>
          <w:tcPr>
            <w:tcW w:w="13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1,123,182</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4"/>
        </w:trPr>
        <w:tc>
          <w:tcPr>
            <w:tcW w:w="276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6"/>
                <w:szCs w:val="16"/>
                <w:b w:val="1"/>
                <w:bCs w:val="1"/>
                <w:color w:val="auto"/>
              </w:rPr>
              <w:t>Ocwen Servicer Advance</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b w:val="1"/>
                <w:bCs w:val="1"/>
                <w:color w:val="auto"/>
              </w:rPr>
              <w:t>Receivables Trust III (OSART</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r>
      <w:tr>
        <w:trPr>
          <w:trHeight w:val="205"/>
        </w:trPr>
        <w:tc>
          <w:tcPr>
            <w:tcW w:w="2760" w:type="dxa"/>
            <w:vAlign w:val="bottom"/>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b w:val="1"/>
                <w:bCs w:val="1"/>
                <w:color w:val="auto"/>
              </w:rPr>
              <w:t xml:space="preserve">III) - </w:t>
            </w:r>
            <w:r>
              <w:rPr>
                <w:rFonts w:ascii="Times New Roman" w:cs="Times New Roman" w:eastAsia="Times New Roman" w:hAnsi="Times New Roman"/>
                <w:sz w:val="16"/>
                <w:szCs w:val="16"/>
                <w:color w:val="auto"/>
              </w:rPr>
              <w:t>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r>
      <w:tr>
        <w:trPr>
          <w:trHeight w:val="201"/>
        </w:trPr>
        <w:tc>
          <w:tcPr>
            <w:tcW w:w="2760" w:type="dxa"/>
            <w:vAlign w:val="bottom"/>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Backed Notes, Series 2014-</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r>
      <w:tr>
        <w:trPr>
          <w:trHeight w:val="225"/>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6"/>
                <w:szCs w:val="16"/>
                <w:color w:val="auto"/>
              </w:rPr>
              <w:t xml:space="preserve">VF1 </w:t>
            </w:r>
            <w:r>
              <w:rPr>
                <w:rFonts w:ascii="Times New Roman" w:cs="Times New Roman" w:eastAsia="Times New Roman" w:hAnsi="Times New Roman"/>
                <w:sz w:val="16"/>
                <w:szCs w:val="16"/>
                <w:b w:val="1"/>
                <w:bCs w:val="1"/>
                <w:color w:val="auto"/>
              </w:rPr>
              <w:t>(6)</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rPr>
              <w:t>Dec. 2047</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rPr>
              <w:t>Dec. 2017</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19,214</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55,786</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63,093</w:t>
            </w:r>
          </w:p>
        </w:tc>
      </w:tr>
      <w:tr>
        <w:trPr>
          <w:trHeight w:val="214"/>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Ocwen Freddie Advance Funding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5"/>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 xml:space="preserve">(OFAF) - </w:t>
            </w:r>
            <w:r>
              <w:rPr>
                <w:rFonts w:ascii="Times New Roman" w:cs="Times New Roman" w:eastAsia="Times New Roman" w:hAnsi="Times New Roman"/>
                <w:sz w:val="16"/>
                <w:szCs w:val="16"/>
                <w:color w:val="auto"/>
              </w:rPr>
              <w:t>Advance Receivables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Backed Notes, Series 2015-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2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xml:space="preserve">VF1 </w:t>
            </w:r>
            <w:r>
              <w:rPr>
                <w:rFonts w:ascii="Times New Roman" w:cs="Times New Roman" w:eastAsia="Times New Roman" w:hAnsi="Times New Roman"/>
                <w:sz w:val="16"/>
                <w:szCs w:val="16"/>
                <w:b w:val="1"/>
                <w:bCs w:val="1"/>
                <w:color w:val="auto"/>
              </w:rPr>
              <w:t>(7)</w:t>
            </w: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Jun. 2048</w:t>
            </w: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Jun. 2018</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49,434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60,566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94,722</w:t>
            </w: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210,169</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1,084,831</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1,280,997</w:t>
            </w:r>
          </w:p>
        </w:tc>
      </w:tr>
      <w:tr>
        <w:trPr>
          <w:trHeight w:val="29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14"/>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6"/>
                <w:szCs w:val="16"/>
                <w:b w:val="1"/>
                <w:bCs w:val="1"/>
                <w:color w:val="auto"/>
              </w:rPr>
              <w:t>Automotive Dealer Loan Financing</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25"/>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spacing w:after="0"/>
              <w:rPr>
                <w:sz w:val="19"/>
                <w:szCs w:val="19"/>
                <w:color w:val="auto"/>
              </w:rPr>
            </w:pPr>
          </w:p>
        </w:tc>
      </w:tr>
      <w:tr>
        <w:trPr>
          <w:trHeight w:val="237"/>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Loan Series 2017-1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 2021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 2019</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38,227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11,773</w:t>
            </w: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6"/>
                <w:szCs w:val="16"/>
                <w:color w:val="auto"/>
              </w:rPr>
              <w:t>Loan Series 2017-2</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w w:val="98"/>
              </w:rPr>
              <w:t>Mar. 2021</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6"/>
                <w:szCs w:val="16"/>
                <w:color w:val="auto"/>
                <w:w w:val="98"/>
              </w:rPr>
              <w:t>Mar. 2019</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38,227</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Times New Roman" w:cs="Times New Roman" w:eastAsia="Times New Roman" w:hAnsi="Times New Roman"/>
                <w:sz w:val="16"/>
                <w:szCs w:val="16"/>
                <w:color w:val="auto"/>
              </w:rPr>
              <w:t>11,773</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27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Automotive Capital Asset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03"/>
        </w:trPr>
        <w:tc>
          <w:tcPr>
            <w:tcW w:w="27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Receivables Trust (ACART)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264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76,454</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23,546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26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286,623</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1,108,377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1,280,997</w:t>
            </w: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2" w:lineRule="auto"/>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Times New Roman" w:cs="Times New Roman" w:eastAsia="Times New Roman" w:hAnsi="Times New Roman"/>
          <w:sz w:val="16"/>
          <w:szCs w:val="16"/>
          <w:color w:val="auto"/>
        </w:rPr>
      </w:pPr>
    </w:p>
    <w:p>
      <w:pPr>
        <w:ind w:left="500" w:right="280" w:hanging="492"/>
        <w:spacing w:after="0" w:line="246" w:lineRule="auto"/>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capacity is available to us provided that we have additional eligible collateral to pledge. Collateral may only be pledged to one facility. At June 30, 2017, none of the available borrowing capacity of our advance financing notes could be used based on the amount of eligible collateral that had been pledged.</w:t>
      </w:r>
    </w:p>
    <w:p>
      <w:pPr>
        <w:ind w:left="500" w:hanging="492"/>
        <w:spacing w:after="0"/>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1ML was 1.22% and 0.77% at June 30, 2017 and December 31, 2016, respectively.</w:t>
      </w:r>
    </w:p>
    <w:p>
      <w:pPr>
        <w:spacing w:after="0" w:line="5" w:lineRule="exact"/>
        <w:rPr>
          <w:rFonts w:ascii="Times New Roman" w:cs="Times New Roman" w:eastAsia="Times New Roman" w:hAnsi="Times New Roman"/>
          <w:sz w:val="16"/>
          <w:szCs w:val="16"/>
          <w:color w:val="auto"/>
        </w:rPr>
      </w:pPr>
    </w:p>
    <w:p>
      <w:pPr>
        <w:ind w:left="500" w:right="140" w:hanging="492"/>
        <w:spacing w:after="0" w:line="246" w:lineRule="auto"/>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June 30, 2017, we negotiated a reduction in the borrowing capacity of each series of variable rate notes from $140.0 million to $70.0 million. There is a ceiling of 75 basis points (bps) for 1ML in determining the interest rate for the notes. Rates on the individual notes are based on 1ML plus a margin of 185 to 545 bps.</w:t>
      </w:r>
    </w:p>
    <w:p>
      <w:pPr>
        <w:ind w:left="500" w:right="20" w:hanging="492"/>
        <w:spacing w:after="0" w:line="250" w:lineRule="auto"/>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agreement, we must continue to borrow the full amount of the Series 2015-T3, Series 2016-T1 and Series 2016-T2 fixed-rate term notes until the amortization date. If there is insufficient collateral to support the level of borrowing, the excess cash proceeds are not distributed to Ocwen but are held by the trustee, and interest expense continues to be based on the full amount of the notes. The Series 2016-T1 and 2016-T2 notes have a total borrowing capacity of $500.0 million. The Series 2015-T3 notes have a borrowing capacity of $400.0 million. Rates on the individual notes range from 2.5207% to 4.6870%</w:t>
      </w:r>
    </w:p>
    <w:p>
      <w:pPr>
        <w:sectPr>
          <w:pgSz w:w="11900" w:h="16838" w:orient="portrait"/>
          <w:cols w:equalWidth="0" w:num="1">
            <w:col w:w="11420"/>
          </w:cols>
          <w:pgMar w:left="240" w:top="792"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92" w:right="239" w:bottom="1440" w:gutter="0" w:footer="0" w:header="0"/>
          <w:type w:val="continuous"/>
        </w:sectPr>
      </w:pPr>
    </w:p>
    <w:bookmarkStart w:id="31" w:name="page32"/>
    <w:bookmarkEnd w:id="31"/>
    <w:p>
      <w:pPr>
        <w:ind w:left="500" w:right="100" w:hanging="492"/>
        <w:spacing w:after="0" w:line="258"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capacity under this facility is $75.0 million. There is a ceiling of 75 bps for 1ML in determining the interest rate for these variable rate notes. Rates on the individual notes are based on the lender’s cost of funds plus a margin of 230 to 470 bps.</w:t>
      </w:r>
    </w:p>
    <w:p>
      <w:pPr>
        <w:ind w:left="500" w:right="20" w:hanging="492"/>
        <w:spacing w:after="0" w:line="246"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borrowing capacity of the Series 2015-VF1 Notes is $160.0 million. Rates on the individual notes are based on 1ML plus a margin of 240 to 480 bps. On June 8, 2017, we negotiated a renewal of this facility through June 7, 2018. As part of this renewal, we reduced the combined borrowing capacity of the Series 2015-VF1 Notes to $110.0 million with interest computed based on the lender’s cost of funds plus a margin of from 250 to 500 bps. There is a ceiling of 300 bps for 1ML in determining the interest rate for these variable rate notes.</w:t>
      </w:r>
    </w:p>
    <w:p>
      <w:pPr>
        <w:spacing w:after="0" w:line="1" w:lineRule="exact"/>
        <w:rPr>
          <w:rFonts w:ascii="Times New Roman" w:cs="Times New Roman" w:eastAsia="Times New Roman" w:hAnsi="Times New Roman"/>
          <w:sz w:val="16"/>
          <w:szCs w:val="16"/>
          <w:color w:val="auto"/>
        </w:rPr>
      </w:pPr>
    </w:p>
    <w:p>
      <w:pPr>
        <w:ind w:left="500" w:right="140" w:hanging="492"/>
        <w:spacing w:after="0" w:line="250"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entered into the loan agreements for the Series 2017-1 Notes on February 24, 2017 and for the Series 2017-2 Notes on March 17, 2017. The committed borrowing capacity for each of the Series 2017-1 and Series 2017-2 variable rate notes is $50.0 million. We may from time to time request increases in the aggregate maximum borrowing capacity of the facility to a maximum aggregate borrowing capacity of $200.0 million. Rates on the Series 2017-1 notes are based on 1ML plus a margin of 500 bps and rates on the Series 2017-2 notes are based on the lender’s cost of funds plus a margin of 500 bps.</w:t>
      </w:r>
    </w:p>
    <w:p>
      <w:pPr>
        <w:spacing w:after="0" w:line="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our 2012 and 2013 agreements with NRZ, NRZ has assumed the obligation to fund new servicing advances with respect to the MSRs underlying the Rights to MSRs, or NRZ/HLSS Transactions.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June 30, 2017, we were the servicer on Rights to MSRs sold to NRZ pertaining to approximately $109.6 billion in UPB and the associated outstanding servicing advances as of such date were approximately $3.4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 On July 23, 2017, we entered into a series of new agreements with NRZ that provide for the conversion of NRZ’s existing Rights to MSRs to fully-owned MSRs. See Note 4 — Sales of Advances and MSRs for additional information.</w:t>
      </w:r>
    </w:p>
    <w:p>
      <w:pPr>
        <w:spacing w:after="0" w:line="7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5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80" w:type="dxa"/>
            <w:vAlign w:val="bottom"/>
            <w:gridSpan w:val="2"/>
            <w:vMerge w:val="restart"/>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 Borrowings, at fair value (1)</w:t>
            </w:r>
          </w:p>
        </w:tc>
        <w:tc>
          <w:tcPr>
            <w:tcW w:w="12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Loans held for</w:t>
            </w:r>
          </w:p>
        </w:tc>
        <w:tc>
          <w:tcPr>
            <w:tcW w:w="126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+ 264</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EAF9E8"/>
            </w:tcBorders>
            <w:gridSpan w:val="2"/>
            <w:vMerge w:val="continue"/>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investment</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4,061,626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3,433,781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Financing liability – MSRs pledged, at fair value</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7"/>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441,007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477,707</w:t>
            </w:r>
          </w:p>
        </w:tc>
        <w:tc>
          <w:tcPr>
            <w:tcW w:w="0" w:type="dxa"/>
            <w:vAlign w:val="bottom"/>
          </w:tcPr>
          <w:p>
            <w:pPr>
              <w:spacing w:after="0"/>
              <w:rPr>
                <w:sz w:val="1"/>
                <w:szCs w:val="1"/>
                <w:color w:val="auto"/>
              </w:rPr>
            </w:pPr>
          </w:p>
        </w:tc>
      </w:tr>
      <w:tr>
        <w:trPr>
          <w:trHeight w:val="225"/>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 Notes, Ocwen Asset Servicing Income Series,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Series 2014-1 (3)</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MSRs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 2028</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81,131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Advances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Financing liability – Advances pledged (4)</w:t>
            </w:r>
          </w:p>
        </w:tc>
        <w:tc>
          <w:tcPr>
            <w:tcW w:w="12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loans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15,922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20,193</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533,806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579,031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4,595,432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4,012,812</w:t>
            </w:r>
          </w:p>
        </w:tc>
        <w:tc>
          <w:tcPr>
            <w:tcW w:w="0" w:type="dxa"/>
            <w:vAlign w:val="bottom"/>
          </w:tcPr>
          <w:p>
            <w:pPr>
              <w:spacing w:after="0"/>
              <w:rPr>
                <w:sz w:val="1"/>
                <w:szCs w:val="1"/>
                <w:color w:val="auto"/>
              </w:rPr>
            </w:pPr>
          </w:p>
        </w:tc>
      </w:tr>
      <w:tr>
        <w:trPr>
          <w:trHeight w:val="20"/>
        </w:trPr>
        <w:tc>
          <w:tcPr>
            <w:tcW w:w="44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20" w:hanging="492"/>
        <w:spacing w:after="0" w:line="258" w:lineRule="auto"/>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due to the holders of beneficial interests in Ginnie Mae guaranteed HMBS. The beneficial interests have no maturity dates, and the borrowings mature as the related loans are repaid.</w:t>
      </w:r>
    </w:p>
    <w:p>
      <w:pPr>
        <w:ind w:left="500" w:right="340" w:hanging="492"/>
        <w:spacing w:after="0" w:line="246" w:lineRule="auto"/>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financing liability arose in connection with the NRZ/HLSS Transactions and has no contractual maturity or repayment schedule. The balance of the liability is adjusted each reporting period to its fair value based on the present value of the estimated future cash flows underlying the related MSRs.</w:t>
      </w:r>
    </w:p>
    <w:p>
      <w:pPr>
        <w:ind w:left="500" w:right="240" w:hanging="492"/>
        <w:spacing w:after="0" w:line="246" w:lineRule="auto"/>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sales of advances did not qualify for sales accounting treatment and were accounted for as a financing. This financing liability has no contractual maturity.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Secured Borrowings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Capacity (1)</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1-Month Euro-dollar</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rate + 500 bps with a</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vMerge w:val="restart"/>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SSTL (2)</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Eurodollar floor of</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800" w:type="dxa"/>
            <w:vAlign w:val="bottom"/>
            <w:tcBorders>
              <w:bottom w:val="single" w:sz="8" w:color="EAF9E8"/>
            </w:tcBorders>
            <w:gridSpan w:val="2"/>
            <w:vMerge w:val="continue"/>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Borders>
              <w:bottom w:val="single" w:sz="8" w:color="EAF9E8"/>
            </w:tcBorders>
            <w:shd w:val="clear" w:color="auto" w:fill="EAF9E8"/>
          </w:tcPr>
          <w:p>
            <w:pPr>
              <w:spacing w:after="0"/>
              <w:rPr>
                <w:sz w:val="22"/>
                <w:szCs w:val="22"/>
                <w:color w:val="auto"/>
              </w:rPr>
            </w:pP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100 bps (2)</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2020</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gridSpan w:val="3"/>
            <w:shd w:val="clear" w:color="auto" w:fill="EAF9E8"/>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326,626</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335,000</w:t>
            </w:r>
          </w:p>
        </w:tc>
        <w:tc>
          <w:tcPr>
            <w:tcW w:w="0" w:type="dxa"/>
            <w:vAlign w:val="bottom"/>
          </w:tcPr>
          <w:p>
            <w:pPr>
              <w:spacing w:after="0"/>
              <w:rPr>
                <w:sz w:val="1"/>
                <w:szCs w:val="1"/>
                <w:color w:val="auto"/>
              </w:rPr>
            </w:pPr>
          </w:p>
        </w:tc>
      </w:tr>
      <w:tr>
        <w:trPr>
          <w:trHeight w:val="201"/>
        </w:trPr>
        <w:tc>
          <w:tcPr>
            <w:tcW w:w="280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Mortgage loan warehouse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Loans held for</w:t>
            </w:r>
          </w:p>
        </w:tc>
        <w:tc>
          <w:tcPr>
            <w:tcW w:w="16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+ 200 - 345</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Repurchase agreement (3)</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sale (LHFS)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5"/>
              </w:rPr>
              <w:t>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2017</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42,100</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12,370</w:t>
            </w:r>
          </w:p>
        </w:tc>
        <w:tc>
          <w:tcPr>
            <w:tcW w:w="0" w:type="dxa"/>
            <w:vAlign w:val="bottom"/>
          </w:tcPr>
          <w:p>
            <w:pPr>
              <w:spacing w:after="0"/>
              <w:rPr>
                <w:sz w:val="1"/>
                <w:szCs w:val="1"/>
                <w:color w:val="auto"/>
              </w:rPr>
            </w:pPr>
          </w:p>
        </w:tc>
      </w:tr>
      <w:tr>
        <w:trPr>
          <w:trHeight w:val="225"/>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+ 200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Master repurchase agreements (4)</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floor of 0.0%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 2018</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66,234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173,543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Participation agreements (5)</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 2018 (5)</w:t>
            </w: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3"/>
            <w:shd w:val="clear" w:color="auto" w:fill="EAF9E8"/>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151,498</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92,739</w:t>
            </w:r>
          </w:p>
        </w:tc>
        <w:tc>
          <w:tcPr>
            <w:tcW w:w="0" w:type="dxa"/>
            <w:vAlign w:val="bottom"/>
          </w:tcPr>
          <w:p>
            <w:pPr>
              <w:spacing w:after="0"/>
              <w:rPr>
                <w:sz w:val="1"/>
                <w:szCs w:val="1"/>
                <w:color w:val="auto"/>
              </w:rPr>
            </w:pPr>
          </w:p>
        </w:tc>
      </w:tr>
      <w:tr>
        <w:trPr>
          <w:trHeight w:val="225"/>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+ 275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 (reverse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1ML floor of 300 or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Participation agreements (6)</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mortgages)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350 bps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 2017</w:t>
            </w:r>
          </w:p>
        </w:tc>
        <w:tc>
          <w:tcPr>
            <w:tcW w:w="14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39,570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26,254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 (reverse</w:t>
            </w:r>
          </w:p>
        </w:tc>
        <w:tc>
          <w:tcPr>
            <w:tcW w:w="16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+ 275 bps;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Master repurchase agreement (7)</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mortgages)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1ML floor of 25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Jan. 2018</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38,081</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61,919</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50,123</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113,947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327,121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355,029</w:t>
            </w:r>
          </w:p>
        </w:tc>
        <w:tc>
          <w:tcPr>
            <w:tcW w:w="0" w:type="dxa"/>
            <w:vAlign w:val="bottom"/>
          </w:tcPr>
          <w:p>
            <w:pPr>
              <w:spacing w:after="0"/>
              <w:rPr>
                <w:sz w:val="1"/>
                <w:szCs w:val="1"/>
                <w:color w:val="auto"/>
              </w:rPr>
            </w:pP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5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3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46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68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12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58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113,947</w:t>
            </w:r>
          </w:p>
        </w:tc>
        <w:tc>
          <w:tcPr>
            <w:tcW w:w="100" w:type="dxa"/>
            <w:vAlign w:val="bottom"/>
            <w:tcBorders>
              <w:bottom w:val="single" w:sz="8" w:color="EAF9E8"/>
            </w:tcBorders>
          </w:tcPr>
          <w:p>
            <w:pPr>
              <w:spacing w:after="0"/>
              <w:rPr>
                <w:sz w:val="24"/>
                <w:szCs w:val="24"/>
                <w:color w:val="auto"/>
              </w:rPr>
            </w:pPr>
          </w:p>
        </w:tc>
        <w:tc>
          <w:tcPr>
            <w:tcW w:w="200" w:type="dxa"/>
            <w:vAlign w:val="bottom"/>
            <w:tcBorders>
              <w:bottom w:val="single" w:sz="8" w:color="EAF9E8"/>
            </w:tcBorders>
          </w:tcPr>
          <w:p>
            <w:pPr>
              <w:spacing w:after="0"/>
              <w:rPr>
                <w:sz w:val="24"/>
                <w:szCs w:val="24"/>
                <w:color w:val="auto"/>
              </w:rPr>
            </w:pPr>
          </w:p>
        </w:tc>
        <w:tc>
          <w:tcPr>
            <w:tcW w:w="1360" w:type="dxa"/>
            <w:vAlign w:val="bottom"/>
            <w:tcBorders>
              <w:bottom w:val="single" w:sz="8" w:color="EAF9E8"/>
            </w:tcBorders>
          </w:tcPr>
          <w:p>
            <w:pPr>
              <w:jc w:val="right"/>
              <w:ind w:right="110"/>
              <w:spacing w:after="0"/>
              <w:rPr>
                <w:sz w:val="20"/>
                <w:szCs w:val="20"/>
                <w:color w:val="auto"/>
              </w:rPr>
            </w:pPr>
            <w:r>
              <w:rPr>
                <w:rFonts w:ascii="Times New Roman" w:cs="Times New Roman" w:eastAsia="Times New Roman" w:hAnsi="Times New Roman"/>
                <w:sz w:val="18"/>
                <w:szCs w:val="18"/>
                <w:color w:val="auto"/>
              </w:rPr>
              <w:t>653,747</w:t>
            </w:r>
          </w:p>
        </w:tc>
        <w:tc>
          <w:tcPr>
            <w:tcW w:w="100" w:type="dxa"/>
            <w:vAlign w:val="bottom"/>
            <w:tcBorders>
              <w:bottom w:val="single" w:sz="8" w:color="EAF9E8"/>
            </w:tcBorders>
          </w:tcPr>
          <w:p>
            <w:pPr>
              <w:spacing w:after="0"/>
              <w:rPr>
                <w:sz w:val="24"/>
                <w:szCs w:val="24"/>
                <w:color w:val="auto"/>
              </w:rPr>
            </w:pPr>
          </w:p>
        </w:tc>
        <w:tc>
          <w:tcPr>
            <w:tcW w:w="46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Times New Roman" w:cs="Times New Roman" w:eastAsia="Times New Roman" w:hAnsi="Times New Roman"/>
                <w:sz w:val="18"/>
                <w:szCs w:val="18"/>
                <w:color w:val="auto"/>
              </w:rPr>
              <w:t>690,029</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EAF9E8"/>
            </w:tcBorders>
            <w:gridSpan w:val="4"/>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 - SSTL</w:t>
            </w:r>
          </w:p>
        </w:tc>
        <w:tc>
          <w:tcPr>
            <w:tcW w:w="15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(7,612)</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 - SSTL</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3"/>
            <w:shd w:val="clear" w:color="auto" w:fill="EAF9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643,860</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678,543</w:t>
            </w:r>
          </w:p>
        </w:tc>
        <w:tc>
          <w:tcPr>
            <w:tcW w:w="0" w:type="dxa"/>
            <w:vAlign w:val="bottom"/>
          </w:tcPr>
          <w:p>
            <w:pPr>
              <w:spacing w:after="0"/>
              <w:rPr>
                <w:sz w:val="1"/>
                <w:szCs w:val="1"/>
                <w:color w:val="auto"/>
              </w:rPr>
            </w:pPr>
          </w:p>
        </w:tc>
      </w:tr>
      <w:tr>
        <w:trPr>
          <w:trHeight w:val="20"/>
        </w:trPr>
        <w:tc>
          <w:tcPr>
            <w:tcW w:w="26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3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58"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our mortgage loan warehouse facilities, available borrowing capacity does not consider the amount of the facility that the lender has extended on an uncommitted basis. Of the borrowing capacity extended on a committed basis, none could be used at June 30, 2017 based on the amount of eligible collateral that had been pledged.</w:t>
      </w:r>
    </w:p>
    <w:p>
      <w:pPr>
        <w:ind w:left="500" w:right="60" w:hanging="492"/>
        <w:spacing w:after="0" w:line="251"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5, 2016, we entered into an Amended and Restated Senior Secured Term Loan Facility Agreement that established a new SSTL with a borrowing capacity of $335.0 million and a maturity date of December 5, 2020. We may request increases to the loan amount of up to $100.0 million in total, with additional increases subject to certain limitations. We are required to make quarterly payments on the SSTL in an amount of $4.2 million the first of which was paid on March 31, 2017.</w:t>
      </w:r>
    </w:p>
    <w:p>
      <w:pPr>
        <w:spacing w:after="0" w:line="269" w:lineRule="exact"/>
        <w:rPr>
          <w:rFonts w:ascii="Times New Roman" w:cs="Times New Roman" w:eastAsia="Times New Roman" w:hAnsi="Times New Roman"/>
          <w:sz w:val="16"/>
          <w:szCs w:val="16"/>
          <w:color w:val="auto"/>
        </w:rPr>
      </w:pPr>
    </w:p>
    <w:p>
      <w:pPr>
        <w:ind w:left="500" w:right="18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w:t>
      </w:r>
    </w:p>
    <w:p>
      <w:pPr>
        <w:spacing w:after="0" w:line="181" w:lineRule="exact"/>
        <w:rPr>
          <w:rFonts w:ascii="Times New Roman" w:cs="Times New Roman" w:eastAsia="Times New Roman" w:hAnsi="Times New Roman"/>
          <w:sz w:val="16"/>
          <w:szCs w:val="16"/>
          <w:color w:val="auto"/>
        </w:rPr>
      </w:pPr>
    </w:p>
    <w:p>
      <w:pPr>
        <w:ind w:left="500" w:right="1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Borrowings bear interest, at the election of Ocwen, at a rate per annum equal to either (a) the base rate (the greatest of (i) the prime rate in effect on such day, (ii) the federal funds rate in effect on such day plus 0.50% and (iii) the one-month Eurodollar rate (1ML)), plus a margin of 4.00% and subject to a base rate floor of 2.00% or</w:t>
      </w:r>
    </w:p>
    <w:p>
      <w:pPr>
        <w:ind w:left="500" w:right="24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the one month Eurodollar rate, plus a margin of 5.00% and subject to a one month Eurodollar floor of 2.00%. To date we have elected option (b) to determine the interest rate.</w:t>
      </w:r>
    </w:p>
    <w:p>
      <w:pPr>
        <w:ind w:left="500" w:right="20" w:hanging="492"/>
        <w:spacing w:after="0" w:line="246"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Fifty percent of the maximum borrowing amount of $100.0 million is available on a committed basis and fifty percent is available at the discretion of the lender. We use this facility to fund the repurchase of certain loans from Ginnie Mae guaranteed securitizations in connection with loan modifications and loan resolution activity as part of our contractual obligations as the servicer of the loans. On August 1, 2017, we entered into an amendment to lower the advance rates under this facility by 3%.</w:t>
      </w:r>
    </w:p>
    <w:p>
      <w:pPr>
        <w:spacing w:after="0" w:line="1" w:lineRule="exact"/>
        <w:rPr>
          <w:rFonts w:ascii="Times New Roman" w:cs="Times New Roman" w:eastAsia="Times New Roman" w:hAnsi="Times New Roman"/>
          <w:sz w:val="16"/>
          <w:szCs w:val="16"/>
          <w:color w:val="auto"/>
        </w:rPr>
      </w:pPr>
    </w:p>
    <w:p>
      <w:pPr>
        <w:ind w:left="500" w:right="60" w:hanging="492"/>
        <w:spacing w:after="0" w:line="246"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these repurchase agreements, the lender provides financing on a committed basis for $100.0 million, with an additional $100.0 million available at the discretion of the lender. On August 1, 2017, we elected to voluntarily terminate these agreements.</w:t>
      </w:r>
    </w:p>
    <w:p>
      <w:pPr>
        <w:ind w:left="500" w:hanging="492"/>
        <w:spacing w:after="0" w:line="252" w:lineRule="auto"/>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these participation agreements, the lender provides financing for a combined total of $250.0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84" w:right="239" w:bottom="1440" w:gutter="0" w:footer="0" w:header="0"/>
        </w:sectPr>
      </w:pPr>
    </w:p>
    <w:bookmarkStart w:id="33" w:name="page34"/>
    <w:bookmarkEnd w:id="33"/>
    <w:p>
      <w:pPr>
        <w:ind w:left="500" w:right="580"/>
        <w:spacing w:after="0" w:line="317" w:lineRule="auto"/>
        <w:rPr>
          <w:sz w:val="20"/>
          <w:szCs w:val="20"/>
          <w:color w:val="auto"/>
        </w:rPr>
      </w:pPr>
      <w:r>
        <w:rPr>
          <w:rFonts w:ascii="Times New Roman" w:cs="Times New Roman" w:eastAsia="Times New Roman" w:hAnsi="Times New Roman"/>
          <w:sz w:val="16"/>
          <w:szCs w:val="16"/>
          <w:color w:val="auto"/>
        </w:rPr>
        <w:t>interest rate of the underlying mortgage loans while the loans are financed under the participation agreement. On April 25, 2017, the term of these participation agreements was extended to April 30, 2018.</w:t>
      </w:r>
    </w:p>
    <w:p>
      <w:pPr>
        <w:ind w:left="500" w:right="120" w:hanging="492"/>
        <w:spacing w:after="0" w:line="252" w:lineRule="auto"/>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these participation agreements, the lender provides uncommitted reverse mortgage financing for $75.0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provides financing on a committed basis for $100.0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00" w:type="dxa"/>
            <w:vAlign w:val="bottom"/>
            <w:tcBorders>
              <w:bottom w:val="single" w:sz="8" w:color="EAF9E8"/>
            </w:tcBorders>
          </w:tcPr>
          <w:p>
            <w:pPr>
              <w:spacing w:after="0"/>
              <w:rPr>
                <w:sz w:val="2"/>
                <w:szCs w:val="2"/>
                <w:color w:val="auto"/>
              </w:rPr>
            </w:pPr>
          </w:p>
        </w:tc>
        <w:tc>
          <w:tcPr>
            <w:tcW w:w="76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6.625%</w:t>
            </w:r>
          </w:p>
        </w:tc>
        <w:tc>
          <w:tcPr>
            <w:tcW w:w="76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Senior unsecured notes due May 15, 2019</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3,122</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8.375%</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November 15, 2022</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346,878</w:t>
            </w:r>
          </w:p>
        </w:tc>
      </w:tr>
      <w:tr>
        <w:trPr>
          <w:trHeight w:val="27"/>
        </w:trPr>
        <w:tc>
          <w:tcPr>
            <w:tcW w:w="600" w:type="dxa"/>
            <w:vAlign w:val="bottom"/>
            <w:tcBorders>
              <w:bottom w:val="single" w:sz="8" w:color="EAF9E8"/>
            </w:tcBorders>
          </w:tcPr>
          <w:p>
            <w:pPr>
              <w:spacing w:after="0"/>
              <w:rPr>
                <w:sz w:val="2"/>
                <w:szCs w:val="2"/>
                <w:color w:val="auto"/>
              </w:rPr>
            </w:pPr>
          </w:p>
        </w:tc>
        <w:tc>
          <w:tcPr>
            <w:tcW w:w="76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7"/>
        </w:trPr>
        <w:tc>
          <w:tcPr>
            <w:tcW w:w="600" w:type="dxa"/>
            <w:vAlign w:val="bottom"/>
            <w:tcBorders>
              <w:bottom w:val="single" w:sz="8" w:color="EAF9E8"/>
            </w:tcBorders>
          </w:tcPr>
          <w:p>
            <w:pPr>
              <w:spacing w:after="0"/>
              <w:rPr>
                <w:sz w:val="2"/>
                <w:szCs w:val="2"/>
                <w:color w:val="auto"/>
              </w:rPr>
            </w:pPr>
          </w:p>
        </w:tc>
        <w:tc>
          <w:tcPr>
            <w:tcW w:w="76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0" w:type="dxa"/>
            <w:vAlign w:val="bottom"/>
            <w:tcBorders>
              <w:bottom w:val="single" w:sz="8" w:color="EAF9E8"/>
            </w:tcBorders>
            <w:shd w:val="clear" w:color="auto" w:fill="EAF9E8"/>
          </w:tcPr>
          <w:p>
            <w:pPr>
              <w:spacing w:after="0"/>
              <w:rPr>
                <w:sz w:val="22"/>
                <w:szCs w:val="22"/>
                <w:color w:val="auto"/>
              </w:rPr>
            </w:pPr>
          </w:p>
        </w:tc>
        <w:tc>
          <w:tcPr>
            <w:tcW w:w="76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347,063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346,789</w:t>
            </w:r>
          </w:p>
        </w:tc>
      </w:tr>
      <w:tr>
        <w:trPr>
          <w:trHeight w:val="20"/>
        </w:trPr>
        <w:tc>
          <w:tcPr>
            <w:tcW w:w="600" w:type="dxa"/>
            <w:vAlign w:val="bottom"/>
            <w:tcBorders>
              <w:top w:val="single" w:sz="8" w:color="EAF9E8"/>
            </w:tcBorders>
          </w:tcPr>
          <w:p>
            <w:pPr>
              <w:spacing w:after="0" w:line="20" w:lineRule="exact"/>
              <w:rPr>
                <w:sz w:val="1"/>
                <w:szCs w:val="1"/>
                <w:color w:val="auto"/>
              </w:rPr>
            </w:pPr>
          </w:p>
        </w:tc>
        <w:tc>
          <w:tcPr>
            <w:tcW w:w="764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11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Ocwen may redeem all or a part of the remaining Senior Unsecured Notes, upon not less than 30 nor more than 60 days’ notice, at the redemption price (expressed as percentages of principal amount) of 103.313% and 100.000% for the twelve-month periods beginning May 15, 2017 and 2018, respectively, plus accrued and unpaid interest and additional interest, if 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1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Senior Secured Notes are guaranteed by Ocwen, OMS, Homeward Residential Holdings, Inc., Homeward and ACS (the Guarantors). The Senior Secured Notes are secured by second priority liens on the assets and properties of OLS and the Guarantors that secure the first priority obligations under the SSTL, excluding certain MSRs.</w:t>
      </w:r>
    </w:p>
    <w:p>
      <w:pPr>
        <w:spacing w:after="0" w:line="6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At any time, OLS may redeem all or a part of the Senior Secured Notes, upon not less than 30 nor more than 60 days’ notice at a specified redemption price, plus accrued and unpaid interest to the date of redemption. Prior to November 15, 2018, the Senior Secured Notes may be redeemed at a redemption price equal to 100.0% of the principal amount of the Senior Secured Notes redeemed, plus the applicable make whole premium (as defined in the indenture). On or after November 15, 2018, OLS may redeem all or a part of the Senior Secured Notes at the redemption prices (expressed as percentages of principal amount) specified in the Indenture. The redemption prices during the twelve-month periods beginning on November 15 of each year are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106.281%</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102.094%</w:t>
            </w:r>
          </w:p>
        </w:tc>
      </w:tr>
      <w:tr>
        <w:trPr>
          <w:trHeight w:val="243"/>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and thereafter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11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At any time, on or prior to November 15, 2018, OLS may, at its option, use the net cash proceeds of one or more equity offerings (as defined in the Indenture) to redeem up to 35.0% of the principal amount of all Senior Secured Notes issued at a redemption price equal to 108.375% of the principal amount of the Senior Secured Notes redeemed plus accrued and unpaid interest to the date of redemption, provided that: (i) at least 65.0% of the principal amount of all Senior Secured Notes issued under the Indenture (including any additional Senior Secured Notes) remains outstanding immediately after any such redemption; and (ii) OLS makes such redemption not more than 120 days after the consummation of any such Equity Offering.</w:t>
      </w:r>
    </w:p>
    <w:p>
      <w:pPr>
        <w:spacing w:after="0" w:line="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Upon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68"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issuance of the Senior Secured Notes, we incurred certain costs that we capitalized and are amortizing over the period from the date of issuance to November 15, 2022. The unamortized balance of these issuance costs was $2.9 million and $3.2 million at June 30, 2017 and December 31, 2016, respectively.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612"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Credit ratings are intended to be an indicator of the creditworthiness of a particular company, security or obligation. On July 25, 2017, S&amp;P affirmed our long-term corporate rating of “B-” and removed our ratings from CreditWatch with Negative implications. On July 26, 2017, Kroll Bond Rating Agency affirmed our corporate ratings at “CCC” and removed our ratings from Watch Downgrade status. On June 16, 2017, Moody’s downgraded our long-term corporate rating to “Caa1” from “B3.” On April 24, 2017, Fitch placed our ratings on Rating Watch Negative. It is possible that additional actions by credit rating agencies could have a material adverse impact on our liquidity and funding position, including materially changing the terms on which we may be able to borrow money.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our debt agreements, we are subject to various qualitative and quantitative covenants. Collectively, these covenants include:</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to operate in material compliance with applicable laws;</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engage in various activities, including but not limited to incurring additional debt, paying dividends of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OLS or any Guarantor, enter into transactions with an affiliate;</w:t>
      </w:r>
    </w:p>
    <w:p>
      <w:pPr>
        <w:spacing w:after="0" w:line="2"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Many of the restrictive covenants arising from the indenture for the Senior Secured Notes will be suspended if the Senior Secured Notes achieve an investment grade rating from both Moody’s and S&amp;P and if no default or event of default has occurred and is continuing.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loan to collateral value ratio, as defined under our SSTL, as of the last date of any fiscal quarter;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levels of tangible net worth and liquidity at the consolidated and OLS levels.</w:t>
      </w:r>
    </w:p>
    <w:p>
      <w:pPr>
        <w:spacing w:after="0" w:line="99"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As of June 30, 2017, the most restrictive consolidated tangible net worth requirements contained in our debt agreements were for a minimum of $1.1 billion at OLS under our match funded debt agreements and three repurchase agreements and $450.0 million at Ocwen under a master repurchase agreement.</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7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8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with all of the qualitative and quantitative covenants in our debt agreements as of the date of these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Other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4"/>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Contingent loan repurchase liability</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246,348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246,081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legal fees and settlements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93,797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Due to NRZ</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71,812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83,248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80,021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Servicing-related obligations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38,852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35,324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indemnification obligations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27,546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23,446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23,216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due in connection with MSR sales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39,398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Checks held for escheat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19,147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16,890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23,079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32,020</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657,413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681,239</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Derivative Financial Instruments and Hedging Activities</w:t>
      </w:r>
    </w:p>
    <w:p>
      <w:pPr>
        <w:spacing w:after="0" w:line="121" w:lineRule="exact"/>
        <w:rPr>
          <w:sz w:val="20"/>
          <w:szCs w:val="20"/>
          <w:color w:val="auto"/>
        </w:rPr>
      </w:pPr>
    </w:p>
    <w:p>
      <w:pPr>
        <w:ind w:right="280" w:firstLine="324"/>
        <w:spacing w:after="0" w:line="281" w:lineRule="auto"/>
        <w:rPr>
          <w:sz w:val="20"/>
          <w:szCs w:val="20"/>
          <w:color w:val="auto"/>
        </w:rPr>
      </w:pPr>
      <w:r>
        <w:rPr>
          <w:rFonts w:ascii="Times New Roman" w:cs="Times New Roman" w:eastAsia="Times New Roman" w:hAnsi="Times New Roman"/>
          <w:sz w:val="17"/>
          <w:szCs w:val="17"/>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Match Funded Liabilities</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 at Fair Value</w:t>
      </w:r>
    </w:p>
    <w:p>
      <w:pPr>
        <w:spacing w:after="0" w:line="11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w:t>
      </w:r>
    </w:p>
    <w:p>
      <w:pPr>
        <w:spacing w:after="0" w:line="11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2" w:right="2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color w:val="auto"/>
        </w:rPr>
        <w:t>The following table summarizes derivative activity, including the derivatives used in each of our identified hedging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Interest Rate Risk</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IRLCs and Loans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Held for Sale</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Forward MBS</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38"/>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IRLCs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Trades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Caps</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balance at December 31, 2016</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360,450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609,177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955,000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2,478,110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110,000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Terminations</w:t>
            </w:r>
          </w:p>
        </w:tc>
        <w:tc>
          <w:tcPr>
            <w:tcW w:w="1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(475,410)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(993,409)</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balance at June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245,578</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392,596</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725,000</w:t>
            </w:r>
          </w:p>
        </w:tc>
      </w:tr>
      <w:tr>
        <w:trPr>
          <w:trHeight w:val="28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2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 2017 - Sep.</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Oct. 2017 - May</w:t>
            </w: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 2017</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of derivative assets (liabilities) at: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June 30, 2017</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2016</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21"/>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Gain on Loans</w:t>
            </w: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Gain on Loans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8"/>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Gains (losses) on derivatives during the six months ended:</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Held for Sale, Net</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Held for Sale, Net</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Other, Net</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June 30, 2017</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2016</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r>
    </w:tbl>
    <w:p>
      <w:pPr>
        <w:spacing w:after="0" w:line="121"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Derivatives are reported at fair value in Other assets or in Other liabilities on our unaudited consolidated balance sheets.</w:t>
      </w:r>
    </w:p>
    <w:p>
      <w:pPr>
        <w:spacing w:after="0" w:line="10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4" w:lineRule="exact"/>
        <w:rPr>
          <w:sz w:val="20"/>
          <w:szCs w:val="20"/>
          <w:color w:val="auto"/>
        </w:rPr>
      </w:pPr>
    </w:p>
    <w:p>
      <w:pPr>
        <w:ind w:left="60" w:right="360" w:firstLine="324"/>
        <w:spacing w:after="0" w:line="313" w:lineRule="auto"/>
        <w:rPr>
          <w:sz w:val="20"/>
          <w:szCs w:val="20"/>
          <w:color w:val="auto"/>
        </w:rPr>
      </w:pPr>
      <w:r>
        <w:rPr>
          <w:rFonts w:ascii="Times New Roman" w:cs="Times New Roman" w:eastAsia="Times New Roman" w:hAnsi="Times New Roman"/>
          <w:sz w:val="17"/>
          <w:szCs w:val="17"/>
          <w:color w:val="auto"/>
        </w:rPr>
        <w:t>Included in Accumulated other comprehensive loss (AOCL) at June 30, 2017 and 2016, respectively, were $1.3 million and $1.6 million of deferred unrealized losses, before taxes of $0.1 million and $0.1 million, respectively, on interest rate swaps that we had designated as cash flow hedges.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includes the following related to derivative financial instruments: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Gains (losses) on economic hedges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54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 of losses in AOCL for a discontinued hedge relationship</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Interest Expense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Financing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50,293</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52,803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103,262</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120,578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9,636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19,184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25,428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81,128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91,033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165,190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197,122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0" w:right="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related to financing liabilities recorded in connection with the NRZ/HLSS Transactions is indicated in the table below. The reduction in the financing liability does not include reimbursements to NRZ/HLSS for the loss of servicing revenues when we were terminated as servicer and where the related Rights to MSRs had been sold to HLSS.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fees collected on behalf of NRZ/HLSS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143,612</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160,518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290,923</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322,647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Subservicing fee retained by Ocwen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78,794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169,902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Net servicing fees remitted to NRZ/HLSS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64,818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74,986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132,976</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152,745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Reduction in financing liability</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16,194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45,829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Interest expense on NRZ/HLSS financing liability</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48,624</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47,358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99,783</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106,916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right="260" w:firstLine="324"/>
        <w:spacing w:after="0" w:line="289" w:lineRule="auto"/>
        <w:rPr>
          <w:sz w:val="20"/>
          <w:szCs w:val="20"/>
          <w:color w:val="auto"/>
        </w:rPr>
      </w:pPr>
      <w:r>
        <w:rPr>
          <w:rFonts w:ascii="Times New Roman" w:cs="Times New Roman" w:eastAsia="Times New Roman" w:hAnsi="Times New Roman"/>
          <w:sz w:val="17"/>
          <w:szCs w:val="17"/>
          <w:color w:val="auto"/>
        </w:rPr>
        <w:t>Interest expense on financing liabilities includes $4.3 million and $10.5 million of fees incurred during the three and six months ended June 30, 2016, respectively, in connection with our agreement to compensate NRZ/HLSS for a period of 12 months (ending in the second quarter of 2016) for certain increased costs associated with its servicing advance financing facilities that were the direct result of a previous downgrade of our S&amp;P servicer rating.</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that we expect to be paid on the HMBS-related borrowings is included with net fair value gains in Other revenues.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92"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Note 15 – Basic and Diluted Earnings (Loss) per Share</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attributable to Ocwen by the weighted average number of common shares outstanding including the potential dilutive common shares related to outstanding stock options and restricted stock awards. The following is a reconciliation of the calculation of basic loss per share to diluted loss per share: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Net loss attributable to Ocwen stockholders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(77,231)</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(198,709)</w:t>
            </w:r>
          </w:p>
        </w:tc>
        <w:tc>
          <w:tcPr>
            <w:tcW w:w="0" w:type="dxa"/>
            <w:vAlign w:val="bottom"/>
          </w:tcPr>
          <w:p>
            <w:pPr>
              <w:spacing w:after="0"/>
              <w:rPr>
                <w:sz w:val="1"/>
                <w:szCs w:val="1"/>
                <w:color w:val="auto"/>
              </w:rPr>
            </w:pPr>
          </w:p>
        </w:tc>
      </w:tr>
      <w:tr>
        <w:trPr>
          <w:trHeight w:val="284"/>
        </w:trPr>
        <w:tc>
          <w:tcPr>
            <w:tcW w:w="51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124,582,280</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123,893,752</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124,300,171</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123,993,545</w:t>
            </w:r>
          </w:p>
        </w:tc>
        <w:tc>
          <w:tcPr>
            <w:tcW w:w="0" w:type="dxa"/>
            <w:vAlign w:val="bottom"/>
          </w:tcPr>
          <w:p>
            <w:pPr>
              <w:spacing w:after="0"/>
              <w:rPr>
                <w:sz w:val="1"/>
                <w:szCs w:val="1"/>
                <w:color w:val="auto"/>
              </w:rPr>
            </w:pPr>
          </w:p>
        </w:tc>
      </w:tr>
      <w:tr>
        <w:trPr>
          <w:trHeight w:val="284"/>
        </w:trPr>
        <w:tc>
          <w:tcPr>
            <w:tcW w:w="51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Basic loss per share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84"/>
        </w:trPr>
        <w:tc>
          <w:tcPr>
            <w:tcW w:w="51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loss per share (1)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Net loss attributable to Ocwen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(87,378)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(77,231)</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(198,709)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124,582,280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123,893,752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124,300,171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123,993,545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elements (1):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Stock option awards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awards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Dilutive weighted average shares of common stock</w:t>
            </w:r>
          </w:p>
        </w:tc>
        <w:tc>
          <w:tcPr>
            <w:tcW w:w="3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124,582,280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123,893,752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124,300,171</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spacing w:after="0"/>
              <w:rPr>
                <w:sz w:val="22"/>
                <w:szCs w:val="22"/>
                <w:color w:val="auto"/>
              </w:rPr>
            </w:pP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123,993,545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Diluted loss per share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6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and common stock awards excluded from the</w:t>
            </w: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6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b w:val="1"/>
                <w:bCs w:val="1"/>
                <w:color w:val="auto"/>
              </w:rPr>
              <w:t>computation of diluted earnings per share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Anti-dilutive (2)</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6,709,154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7,979,821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4,382,684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7,482,868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Market-based (3)</w:t>
            </w:r>
          </w:p>
        </w:tc>
        <w:tc>
          <w:tcPr>
            <w:tcW w:w="30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862,446</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2,045,725</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862,446</w:t>
            </w:r>
          </w:p>
        </w:tc>
        <w:tc>
          <w:tcPr>
            <w:tcW w:w="10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04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2,045,725</w:t>
            </w:r>
          </w:p>
        </w:tc>
        <w:tc>
          <w:tcPr>
            <w:tcW w:w="0" w:type="dxa"/>
            <w:vAlign w:val="bottom"/>
          </w:tcPr>
          <w:p>
            <w:pPr>
              <w:spacing w:after="0"/>
              <w:rPr>
                <w:sz w:val="1"/>
                <w:szCs w:val="1"/>
                <w:color w:val="auto"/>
              </w:rPr>
            </w:pPr>
          </w:p>
        </w:tc>
      </w:tr>
      <w:tr>
        <w:trPr>
          <w:trHeight w:val="27"/>
        </w:trPr>
        <w:tc>
          <w:tcPr>
            <w:tcW w:w="516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220" w:hanging="492"/>
        <w:spacing w:after="0" w:line="258"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June 30, 2017 and 2016, we have excluded the effect of stock options and common stock awards from the computation of diluted loss per share because of the anti-dilutive effect of our reported net loss.</w:t>
      </w:r>
    </w:p>
    <w:p>
      <w:pPr>
        <w:ind w:left="500" w:hanging="492"/>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were anti-dilutive because their exercise price was greater than the average market price of Ocwen’s stock.</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Ocwen’s stock price.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Business Segment Reporting</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business segments reflect the internal reporting that we use to evaluate operating performance of services and to assess the allocation of our resources. While our expense allocation methodology for the current period is consistent with that used in prior periods presented, during the first quarter of 2017, we moved certain functions which had been associated with corporate cost centers to our Lending and Servicing segments because these functions align more closely with those segments. As applicable, the results of operations for the three and six months ended June 30, 2016 have been recast to conform to the current period presentation. As a result of these changes, income before income taxes for the Lending segment for the three and six months ended June 30, 2016 decreased by $2.5 million and $5.1 million, respectively, while loss before income taxes for the Servicing segment decreased by the same amounts for the same periods.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brief description of our current business segments is as follows:</w:t>
      </w:r>
    </w:p>
    <w:p>
      <w:pPr>
        <w:spacing w:after="0" w:line="115" w:lineRule="exact"/>
        <w:rPr>
          <w:sz w:val="20"/>
          <w:szCs w:val="20"/>
          <w:color w:val="auto"/>
        </w:rPr>
      </w:pPr>
    </w:p>
    <w:p>
      <w:pPr>
        <w:ind w:right="3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Servicing. </w:t>
      </w:r>
      <w:r>
        <w:rPr>
          <w:rFonts w:ascii="Times New Roman" w:cs="Times New Roman" w:eastAsia="Times New Roman" w:hAnsi="Times New Roman"/>
          <w:sz w:val="18"/>
          <w:szCs w:val="18"/>
          <w:color w:val="auto"/>
        </w:rPr>
        <w:t>This segment is primarily comprised of our core residential servicing business. We provide residential and commercial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w:t>
      </w:r>
    </w:p>
    <w:p>
      <w:pPr>
        <w:sectPr>
          <w:pgSz w:w="11900" w:h="16838" w:orient="portrait"/>
          <w:cols w:equalWidth="0" w:num="1">
            <w:col w:w="11420"/>
          </w:cols>
          <w:pgMar w:left="240" w:top="79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92" w:right="239" w:bottom="1440" w:gutter="0" w:footer="0" w:header="0"/>
          <w:type w:val="continuous"/>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portfolio includes conventional, government-insured and non-Agency loans. Non-Agency loans include subprime loans, which represent residential loans that generally did not qualify under GSE guidelines or have subsequently become delinquent.</w:t>
      </w:r>
    </w:p>
    <w:p>
      <w:pPr>
        <w:spacing w:after="0" w:line="52"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Lending. </w:t>
      </w:r>
      <w:r>
        <w:rPr>
          <w:rFonts w:ascii="Times New Roman" w:cs="Times New Roman" w:eastAsia="Times New Roman" w:hAnsi="Times New Roman"/>
          <w:sz w:val="18"/>
          <w:szCs w:val="18"/>
          <w:color w:val="auto"/>
        </w:rPr>
        <w:t>The Lending segment is focused on originating and purchasing conventional and government-insured residential forward and reverse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mainly through our broker relationships and directly with mortgage customers. The loans are typically sold shortly after origination into a liquid market on a servicing retained (securitization) or servicing released (sale to a third party) basis.</w:t>
      </w:r>
    </w:p>
    <w:p>
      <w:pPr>
        <w:spacing w:after="0" w:line="6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Items and Other. </w:t>
      </w:r>
      <w:r>
        <w:rPr>
          <w:rFonts w:ascii="Times New Roman" w:cs="Times New Roman" w:eastAsia="Times New Roman" w:hAnsi="Times New Roman"/>
          <w:sz w:val="18"/>
          <w:szCs w:val="18"/>
          <w:color w:val="auto"/>
        </w:rPr>
        <w:t>Corporate Items and Other includes revenues and expenses of ACS and CR Limited (CRL), our wholly-owned captive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subsidiary, and our other business activities that are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 ACS provides short-term inventory-secured loans to independent used car dealers to finance their inventory.</w:t>
      </w:r>
    </w:p>
    <w:p>
      <w:pPr>
        <w:spacing w:after="0" w:line="74"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allocate a portion of interest income to each business segment, including interest earned on cash balances and short-term investments. We also allocate expenses incurred by corporate support services to each business segment.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38"/>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2017</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271,784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32,776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311,300</w:t>
            </w:r>
          </w:p>
        </w:tc>
      </w:tr>
      <w:tr>
        <w:trPr>
          <w:trHeight w:val="291"/>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35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201,928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32,886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45,666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280,480</w:t>
            </w:r>
          </w:p>
        </w:tc>
      </w:tr>
      <w:tr>
        <w:trPr>
          <w:trHeight w:val="291"/>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35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(63,903)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(81,128)</w:t>
            </w:r>
          </w:p>
        </w:tc>
      </w:tr>
      <w:tr>
        <w:trPr>
          <w:trHeight w:val="225"/>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3,428</w:t>
            </w:r>
          </w:p>
        </w:tc>
      </w:tr>
      <w:tr>
        <w:trPr>
          <w:trHeight w:val="237"/>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(72,428)</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354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(41,608)</w:t>
            </w:r>
          </w:p>
        </w:tc>
      </w:tr>
      <w:tr>
        <w:trPr>
          <w:trHeight w:val="163"/>
        </w:trPr>
        <w:tc>
          <w:tcPr>
            <w:tcW w:w="354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325,120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35,376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373,054</w:t>
            </w:r>
          </w:p>
        </w:tc>
      </w:tr>
      <w:tr>
        <w:trPr>
          <w:trHeight w:val="291"/>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35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257,751</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96,086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385,018</w:t>
            </w:r>
          </w:p>
        </w:tc>
      </w:tr>
      <w:tr>
        <w:trPr>
          <w:trHeight w:val="264"/>
        </w:trPr>
        <w:tc>
          <w:tcPr>
            <w:tcW w:w="3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35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(81,197)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(91,033)</w:t>
            </w:r>
          </w:p>
        </w:tc>
      </w:tr>
      <w:tr>
        <w:trPr>
          <w:trHeight w:val="225"/>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r>
      <w:tr>
        <w:trPr>
          <w:trHeight w:val="237"/>
        </w:trPr>
        <w:tc>
          <w:tcPr>
            <w:tcW w:w="3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(84,434)</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354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(96,398)</w:t>
            </w:r>
          </w:p>
        </w:tc>
      </w:tr>
      <w:tr>
        <w:trPr>
          <w:trHeight w:val="163"/>
        </w:trPr>
        <w:tc>
          <w:tcPr>
            <w:tcW w:w="354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459"/>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7"/>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555,802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63,522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633,164</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418,842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62,217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75,804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556,863</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(131,254)</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(27,269)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(165,190)</w:t>
            </w:r>
          </w:p>
        </w:tc>
        <w:tc>
          <w:tcPr>
            <w:tcW w:w="0" w:type="dxa"/>
            <w:vAlign w:val="bottom"/>
          </w:tcPr>
          <w:p>
            <w:pPr>
              <w:spacing w:after="0"/>
              <w:rPr>
                <w:sz w:val="1"/>
                <w:szCs w:val="1"/>
                <w:color w:val="auto"/>
              </w:rPr>
            </w:pPr>
          </w:p>
        </w:tc>
      </w:tr>
      <w:tr>
        <w:trPr>
          <w:trHeight w:val="225"/>
        </w:trPr>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37"/>
        </w:trPr>
        <w:tc>
          <w:tcPr>
            <w:tcW w:w="3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0" w:type="dxa"/>
            <w:vAlign w:val="bottom"/>
          </w:tcPr>
          <w:p>
            <w:pPr>
              <w:spacing w:after="0"/>
              <w:rPr>
                <w:sz w:val="1"/>
                <w:szCs w:val="1"/>
                <w:color w:val="auto"/>
              </w:rPr>
            </w:pPr>
          </w:p>
        </w:tc>
      </w:tr>
      <w:tr>
        <w:trPr>
          <w:trHeight w:val="163"/>
        </w:trPr>
        <w:tc>
          <w:tcPr>
            <w:tcW w:w="354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632,547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58,660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12,604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703,811</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532,070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55,558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126,047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713,675</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(177,670)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(197,122)</w:t>
            </w:r>
          </w:p>
        </w:tc>
        <w:tc>
          <w:tcPr>
            <w:tcW w:w="0" w:type="dxa"/>
            <w:vAlign w:val="bottom"/>
          </w:tcPr>
          <w:p>
            <w:pPr>
              <w:spacing w:after="0"/>
              <w:rPr>
                <w:sz w:val="1"/>
                <w:szCs w:val="1"/>
                <w:color w:val="auto"/>
              </w:rPr>
            </w:pPr>
          </w:p>
        </w:tc>
      </w:tr>
      <w:tr>
        <w:trPr>
          <w:trHeight w:val="225"/>
        </w:trPr>
        <w:tc>
          <w:tcPr>
            <w:tcW w:w="35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37"/>
        </w:trPr>
        <w:tc>
          <w:tcPr>
            <w:tcW w:w="3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(198,523)</w:t>
            </w:r>
          </w:p>
        </w:tc>
        <w:tc>
          <w:tcPr>
            <w:tcW w:w="0" w:type="dxa"/>
            <w:vAlign w:val="bottom"/>
          </w:tcPr>
          <w:p>
            <w:pPr>
              <w:spacing w:after="0"/>
              <w:rPr>
                <w:sz w:val="1"/>
                <w:szCs w:val="1"/>
                <w:color w:val="auto"/>
              </w:rPr>
            </w:pPr>
          </w:p>
        </w:tc>
      </w:tr>
      <w:tr>
        <w:trPr>
          <w:trHeight w:val="284"/>
        </w:trPr>
        <w:tc>
          <w:tcPr>
            <w:tcW w:w="354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38"/>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30, 2017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2,975,458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4,483,652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473,282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7,932,392</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2016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3,312,371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3,863,862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479,430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7,655,663</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30, 2016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3,630,933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3,424,808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432,511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7,488,252</w:t>
            </w:r>
          </w:p>
        </w:tc>
      </w:tr>
      <w:tr>
        <w:trPr>
          <w:trHeight w:val="486"/>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38"/>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5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2017</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6,356</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516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 2016</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6,810</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516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13,439</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25,412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516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11,850</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21,153</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Regulatory Requirements</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extensive regulation by federal, state and local governmental authorities, including the CFPB, the Department of Housing and Urban Development (HUD), the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loss of our licenses and approvals to engage in our servicing and lending businesses, (ii) governmental investigations and enforcement actions, including cease and desist orders,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be required to pay for the costs of third-party firms to monitor our compliance with such resolutions. We have recognized $175.9 million in such third-party monitoring costs from January 1, 2014 through June 30, 2017 in connection with the 2013 Ocwen National Mortgage Settlement, our 2014 settlement with the NY DFS and our 2015 settlement with the CA DBO.</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38" w:right="239" w:bottom="1440" w:gutter="0" w:footer="0" w:header="0"/>
        </w:sectPr>
      </w:pPr>
    </w:p>
    <w:bookmarkStart w:id="42" w:name="page43"/>
    <w:bookmarkEnd w:id="42"/>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must comply with a large number of federal, state and local consumer protection laws including, among others, the Dodd-Frank Wall Street Reform and Consumer Protection Act (the Dodd-Frank Act), the Telephone Consumer Protection Act, the Gramm-Leach-Bliley Act, the Fair Debt Collection Practices Act, the Real Estate Settlement Procedures Act (RESPA), the Truth in Lending Act (TILA), the Servicemembers Civil Relief Act, the Homeowners Protection Act, the Federal Trade Commission Act, the Fair Credit Reporting Act and the Equal Credit Opportunity Act, as well as individual state licensing and foreclosure laws, individual state and local laws relating to registration of vacant or foreclosed properties,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and the actions of legislative bodies and regulatory agencies relating to a particular matter or business practice may or may not be coordinated or consistent. As a result, ensuring ongoing compliance with applicable legal and regulatory requirements can be challenging. The recent trend among federal, state and local lawmakers and regulators has been toward increasing laws, regulations and investigative proceedings with regard to residential real estate lenders and servicers.</w:t>
      </w:r>
    </w:p>
    <w:p>
      <w:pPr>
        <w:spacing w:after="0" w:line="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Ocwen has various subsidiaries, including OLS, Homeward and Liberty,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June 30, 2017.</w:t>
      </w:r>
    </w:p>
    <w:p>
      <w:pPr>
        <w:spacing w:after="0" w:line="8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19 – Contingencies, since April 20, 2017, the CFPB, two state attorneys general and thirty state mortgage and banking regulatory agencies have taken regulatory action against us alleging breaches of various laws, regulations and licensing requirements. We believe we have factual and legal defenses to the CFPB’s and the state attorneys general’s allegations and intend to vigorously defend ourselves. With respect to the state regulatory agencies, we intend to vigorously defend against unfounded claims while continuing to work with the state regulatory agencies to resolve their concerns.</w:t>
      </w:r>
    </w:p>
    <w:p>
      <w:pPr>
        <w:spacing w:after="0" w:line="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OLS, Homeward and Liberty are also subject to seller/servicer obligations under agreements with one or more of the GSEs, HUD, FHA, VA and Ginnie Mae. These seller/servicer obligations include financial requirements, including capital requirements related to tangible net worth, as defined by the applicable agency,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We believe we were in compliance with the related net worth requirements at June 30, 2017. Our non-Agency servicing agreements also contain requirements regarding servicing practices and other matters, and a failure to comply with these requirements could have a material adverse impact on our business.</w:t>
      </w:r>
    </w:p>
    <w:p>
      <w:pPr>
        <w:spacing w:after="0" w:line="8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most restrictive of the various net worth requirements referenced above is based on the total assets of OLS, and the required net worth was $381.0 million at June 30, 2017.</w:t>
      </w:r>
    </w:p>
    <w:p>
      <w:pPr>
        <w:spacing w:after="0" w:line="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adverse actions against us, including (i) restrictions on our operations in these counties, (ii) fines, penalties or sanctions or (iii) reputational damage.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8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Note 18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Unfunded Lending Commitments</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have originated floating-rate reverse mortgage loans under which the borrowers have additional borrowing capacity of $1.3 billion at June 30, 2017. This additional borrowing capacity is available on a scheduled or unscheduled payment basis. We also had short-term commitments to lend $207.4 million and $38.2 million in connection with our forward and reverse mortgage loan interest rate lock commitments, respectively, outstanding at June 30, 2017. We finance originated and purchased forward and reverse mortgage loans with repurchase and participation agreements, commonly referred to as warehouse lines.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Contracts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business is currently dependent on many of the services and products provided by Altisource Portfolio Solutions, S.A.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w:t>
      </w:r>
    </w:p>
    <w:p>
      <w:pPr>
        <w:spacing w:after="0" w:line="76"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w:t>
      </w:r>
    </w:p>
    <w:p>
      <w:pPr>
        <w:spacing w:after="0" w:line="6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Contingencies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such as claims under the Telephone Consumer Protection Act, claims related to our payment, escrow and other processing operations, and claims regarding certifications of our legal compliance related to our participation in certain government programs. In some of these proceedings, claims for substantial monetary damages are asserted against us.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93" w:right="239" w:bottom="1440" w:gutter="0" w:footer="0" w:header="0"/>
        </w:sectPr>
      </w:pPr>
    </w:p>
    <w:bookmarkStart w:id="44" w:name="page45"/>
    <w:bookmarkEnd w:id="44"/>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Where we determine that a loss contingency is probable in connection with a pending or threatened legal proceeding and the amount of our loss can be reasonably estimated, we record an accrual for the loss. Excluding expenses of internal or external legal counsel, we have accrued $86.1 million as of June 30, 2017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We cannot currently estimate the amount, if any, of reasonably possible losses above amounts that have been recorded at June 30, 2017.</w:t>
      </w:r>
    </w:p>
    <w:p>
      <w:pPr>
        <w:spacing w:after="0" w:line="7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previously disclosed several securities fraud class action lawsuits filed against Ocwen and certain of its officers and directors that contain allegations in connection with the restatements of our 2013 and first quarter 2014 financial statements and our December 2014 Consent Order with the NY DFS, among other matters. Those lawsuits have been consolidated and are pending in the United States District Court for the Southern District of Florida in the matter captioned </w:t>
      </w:r>
      <w:r>
        <w:rPr>
          <w:rFonts w:ascii="Times New Roman" w:cs="Times New Roman" w:eastAsia="Times New Roman" w:hAnsi="Times New Roman"/>
          <w:sz w:val="18"/>
          <w:szCs w:val="18"/>
          <w:i w:val="1"/>
          <w:iCs w:val="1"/>
          <w:color w:val="auto"/>
        </w:rPr>
        <w:t>In re Ocwen Financial Corporation Securities 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9:14-cv-81057-WPD (S.D. Fla.)</w:t>
      </w:r>
      <w:r>
        <w:rPr>
          <w:rFonts w:ascii="Times New Roman" w:cs="Times New Roman" w:eastAsia="Times New Roman" w:hAnsi="Times New Roman"/>
          <w:sz w:val="18"/>
          <w:szCs w:val="18"/>
          <w:color w:val="auto"/>
        </w:rPr>
        <w:t xml:space="preserve"> (such consolidated lawsuit, the Securities Class Action).</w:t>
      </w:r>
    </w:p>
    <w:p>
      <w:pPr>
        <w:spacing w:after="0" w:line="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July 19, 2017, following a mediated settlement process resulting in all parties' acceptance of the mediator's recommendation for settlement, the parties advised the court that we have reached an agreement in principle to settle this matter. Following the filing of a joint motion requesting adjournment, the court has adjourned further proceedings pending approval of the final settlement. Subject to documentation of a definitive settlement and final approval by the court, the settlement will include an aggregate cash payment by Ocwen to the plaintiffs of $49.0 million (of which Ocwen expects to recover $14.0 million from insurance proceeds), and an issuance to the plaintiffs of an aggregate of 2,500,000 shares of Ocwen's common stock. Under certain circumstances related to the price of Ocwen's common stock over the five trading days prior to court approval of the settlement, the amount of shares issuable could be increased so that the aggregate number of shares issued has a total value of $7.0 million. However, in no event will Ocwen be required to issue more than 4% of the number of shares of its common stock outstanding as of the date of court approval. Further, in lieu of issuing shares, Ocwen may elect to pay the plaintiffs $7.0 million in cash. Attorneys' fees for the plaintiffs will be paid from the amounts described above.</w:t>
      </w:r>
    </w:p>
    <w:p>
      <w:pPr>
        <w:spacing w:after="0" w:line="8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accrued an aggregate of $56.0 million as of June 30, 2017 in connection with this settlement in principle as we believe this loss is probable and reasonably estimable based on current information regarding this matter. We cannot currently estimate the amount, if any, of reasonably possible loss above such accrual. The $56.0 million is included within the $86.1 million litigation accrual referenced above. Recoveries from insurance will reduce our aggregate exposure for this matter and have been recorded as a reduction of Professional services expense in the unaudited consolidated statements of operations.</w:t>
      </w:r>
    </w:p>
    <w:p>
      <w:pPr>
        <w:spacing w:after="0" w:line="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While Ocwen believes that it has sound legal and factual defenses, Ocwen agreed to this settlement in principle in order to avoid the uncertain outcome of litigation and the additional expense and demands on the time of its senior management that a trial would involve. There can be no assurance that the settlement in principle will be finalized and approved by the court. In the event the settlement in principle is not ultimately finalized and approved, the litigation would continue and we would vigorously defend the allegations made against Ocwen. If our efforts to defend against such claims were not successful, our business, financial condition, liquidity and results of operations could be materially and adversely affected.</w:t>
      </w:r>
    </w:p>
    <w:p>
      <w:pPr>
        <w:spacing w:after="0" w:line="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January 2016, Ocwen was named as a defendant in a separate “opt-out” securities fraud action brought on behalf of certain putative shareholders of Ocwen based on similar allegations to those contained in the securities fraud class action lawsuit described above. See </w:t>
      </w:r>
      <w:r>
        <w:rPr>
          <w:rFonts w:ascii="Times New Roman" w:cs="Times New Roman" w:eastAsia="Times New Roman" w:hAnsi="Times New Roman"/>
          <w:sz w:val="18"/>
          <w:szCs w:val="18"/>
          <w:i w:val="1"/>
          <w:iCs w:val="1"/>
          <w:color w:val="auto"/>
        </w:rPr>
        <w:t>Broadway Gate Master Fund, Ltd.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Ocwen Financial Corporation et al., 9:16-cv-80056-WPD (S.D. Fla.)</w:t>
      </w:r>
      <w:r>
        <w:rPr>
          <w:rFonts w:ascii="Times New Roman" w:cs="Times New Roman" w:eastAsia="Times New Roman" w:hAnsi="Times New Roman"/>
          <w:sz w:val="18"/>
          <w:szCs w:val="18"/>
          <w:color w:val="auto"/>
        </w:rPr>
        <w:t>. Additional lawsuits may be filed against us in relation to these matters. 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Ocwen is unable to predict the outcome of this existing “opt-out” lawsuit or any additional lawsuits that may be filed, the possible loss or range of loss, if any, associated with the resolution of such lawsuits or the potential impact such lawsuits may have on us or our operations. Ocwen and the other defendants intend to vigorously defend against such lawsuits. If our efforts to defend these lawsuits are not successful, our business, financial condition, liquidity and results of operations could be materially and adversely affected.</w:t>
      </w:r>
    </w:p>
    <w:p>
      <w:pPr>
        <w:spacing w:after="0" w:line="8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federal and state regulatory actions described below under “Regulatory”, and the impact on our stock price, several putative securities fraud class action lawsuits have been filed against Ocwen and certain of its officers that contain allegations in connection with Ocwen’s statements concerning its efforts to satisfy the evolving regulatory environment,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8" w:right="239" w:bottom="1440" w:gutter="0" w:footer="0" w:header="0"/>
        </w:sectPr>
      </w:pPr>
    </w:p>
    <w:bookmarkStart w:id="45" w:name="page46"/>
    <w:bookmarkEnd w:id="45"/>
    <w:p>
      <w:pPr>
        <w:ind w:right="20"/>
        <w:spacing w:after="0" w:line="258" w:lineRule="auto"/>
        <w:rPr>
          <w:sz w:val="20"/>
          <w:szCs w:val="20"/>
          <w:color w:val="auto"/>
        </w:rPr>
      </w:pPr>
      <w:r>
        <w:rPr>
          <w:rFonts w:ascii="Times New Roman" w:cs="Times New Roman" w:eastAsia="Times New Roman" w:hAnsi="Times New Roman"/>
          <w:sz w:val="18"/>
          <w:szCs w:val="18"/>
          <w:color w:val="auto"/>
        </w:rPr>
        <w:t>and the resources it devoted to regulatory compliance, among other matters. Additional lawsuits may be filed against us in relation to these matters. At this time, Ocwen is unable to predict the outcome of these existing lawsuits or any additional lawsuits that may be filed, the possible loss or range of loss, if any, associated with the resolution of such lawsuits or the potential impact such lawsuits may have on us or our operations. Ocwen and the other defendants intend to vigorously defend against such lawsuits. If our efforts to defend these lawsuits are not successful, our business, financial condition, liquidity and results of operations could be materially and adversely affected.</w:t>
      </w:r>
    </w:p>
    <w:p>
      <w:pPr>
        <w:spacing w:after="0" w:line="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Ocwen has been named in putative class actions and individual actions related to its compliance with the Telephone Consumer Protection Act. Generally, plaintiffs in these actions allege that Ocwen knowingly and willfully violated the Telephone Consumer Protection Act by using an automated telephone dialing system to call class members’ cell phones without their consent. On July 28, 2017, Ocwen entered into an agreement in principle to resolve two such putative class actions, which have been consolidated in the United States District Court for the Northern District of Illinois. See </w:t>
      </w:r>
      <w:r>
        <w:rPr>
          <w:rFonts w:ascii="Times New Roman" w:cs="Times New Roman" w:eastAsia="Times New Roman" w:hAnsi="Times New Roman"/>
          <w:sz w:val="18"/>
          <w:szCs w:val="18"/>
          <w:i w:val="1"/>
          <w:iCs w:val="1"/>
          <w:color w:val="auto"/>
        </w:rPr>
        <w:t>Snyder v. Ocwen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 LLC, 1:14-cv-08461-MFK (N.D. Ill.); Beecroft v. Ocwen Loan Servicing, LLC, 1:16-cv-08677-MFK (N.D. Ill.)</w:t>
      </w:r>
      <w:r>
        <w:rPr>
          <w:rFonts w:ascii="Times New Roman" w:cs="Times New Roman" w:eastAsia="Times New Roman" w:hAnsi="Times New Roman"/>
          <w:sz w:val="18"/>
          <w:szCs w:val="18"/>
          <w:color w:val="auto"/>
        </w:rPr>
        <w:t>. Subject to documentation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settlement and final approval by the court, the settlement will include the establishment of a settlement fund to be distributed to impacted borrowers that submit claims for settlement benefits pursuant to a claims administration process. Our accrual with respect to this matter is included in the $86.1 million litigation accrual referenced above. We cannot currently estimate the amount, if any, of reasonably possible loss above the amount accrued.</w:t>
      </w:r>
    </w:p>
    <w:p>
      <w:pPr>
        <w:spacing w:after="0" w:line="7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While Ocwen believes that it has sound legal and factual defenses, Ocwen agreed to this settlement in principle in order to avoid the uncertain outcome of litigation and the additional expense and demands on the time of its senior management that such litigation would involve. There can be no assurance that the settlement in principle will be finalized and approved by the court. In the event the settlement in principle is not ultimately finalized and approved, the litigation would continue, and we would vigorously defend the allegations made against Ocwen, including by challenging any motions for class certification. Additional lawsuits may be filed against us in relation to these matters. At this time, Ocwen is unable to predict the outcome of these existing lawsuits or any additional lawsuits that may be filed, the possible loss or range of loss, if any, associated with the resolution of such lawsuits or the potential impact such lawsuits may have on us or our operations. Ocwen intends to vigorously defend against these lawsuits. If our efforts to defend these lawsuits are not successful, our business, financial condition liquidity and results of operations could be materially and adversely affected.</w:t>
      </w:r>
    </w:p>
    <w:p>
      <w:pPr>
        <w:spacing w:after="0" w:line="7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February 17, 2017, OFC, OLS and Homeward signed an agreement with two qui tam relators to settle the following previously disclosed litigation matters relating to claims under the False Claims Act: (the Fisher Cases). The settlement agreement, which was subsequently approved by the United States, contained no admission of liability or wrongdoing by Ocwen and provided for the payment of $15.0 million to the United States and $15.0 million for the private citizens’ attorneys’ fees and costs. We paid the settlement amount in April 2017.</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a number of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investors who issue notices of default could seek to press their allegations against Ocwen, independent of the trustees. At present, one such group of affiliated investors sought to direct one trustee to bring suit against Ocwen. The trustee declined to bring suit, and the investors instead brought suit against Ocwen directly. Ocwen is vigorously defending itself in that action. We are unable at this time to predict</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688" w:right="259" w:bottom="1440" w:gutter="0" w:footer="0" w:header="0"/>
        </w:sectPr>
      </w:pPr>
    </w:p>
    <w:bookmarkStart w:id="46" w:name="page47"/>
    <w:bookmarkEnd w:id="46"/>
    <w:p>
      <w:pPr>
        <w:spacing w:after="0" w:line="289" w:lineRule="auto"/>
        <w:rPr>
          <w:sz w:val="20"/>
          <w:szCs w:val="20"/>
          <w:color w:val="auto"/>
        </w:rPr>
      </w:pPr>
      <w:r>
        <w:rPr>
          <w:rFonts w:ascii="Times New Roman" w:cs="Times New Roman" w:eastAsia="Times New Roman" w:hAnsi="Times New Roman"/>
          <w:sz w:val="17"/>
          <w:szCs w:val="17"/>
          <w:color w:val="auto"/>
        </w:rPr>
        <w:t>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35"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8"/>
          <w:szCs w:val="18"/>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CFPB</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April 20,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platform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intend to vigorously defend ourselves.</w:t>
      </w:r>
    </w:p>
    <w:p>
      <w:pPr>
        <w:spacing w:after="0" w:line="8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Prior to the CFPB instituting legal proceedings, we had been engaged with the CFPB in efforts to resolve the matter. We recorded $12.5 million as of December 31, 2016 as a result of these discussions. If we are successful in defending ourselves against the CFPB, it is possible that our losses could be less than $12.5 million. It is also possible that we could incur losses that materially exceed the amount accrued, and the resolution of the matters raised by the CFPB could have a material adverse impact on our business, reputation, financial condition, liquidity and results of operations. We cannot currently estimate the amount, if any, of reasonably possible loss above amounts previously accrued.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State Attorneys General and Other Matters</w:t>
      </w:r>
    </w:p>
    <w:p>
      <w:pPr>
        <w:spacing w:after="0" w:line="22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loan origination and servicing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 and such resolutions could have material and adverse effects on our business, reputation, operations, results of operations and financial condition.</w:t>
      </w:r>
    </w:p>
    <w:p>
      <w:pPr>
        <w:spacing w:after="0" w:line="6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April 20, 2017 and subsequently, thirty state mortgage and banking regulatory agencies issued orders against OLS and certain other Ocwen companies. In general, the orders are styled as “cease and desist orders,” and we use that term to refer to all of the orders for ease of reference; we also include the District of Columbia regulator as a state regulator for ease of reference. All of the cease and desist orders apply to OLS, but additional Ocwen entities are named in some state orders, including Ocwen Financial Corporation, OMS, Homeward and Liberty. While each state’s cease and desist order is different, the orders generally prohibit a range of actions, including (1) acquiring new MSRs (17 states), (2) originating or acquiring new</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688" w:right="299" w:bottom="1440" w:gutter="0" w:footer="0" w:header="0"/>
        </w:sectPr>
      </w:pPr>
    </w:p>
    <w:bookmarkStart w:id="47" w:name="page48"/>
    <w:bookmarkEnd w:id="47"/>
    <w:p>
      <w:pPr>
        <w:spacing w:after="0" w:line="253" w:lineRule="auto"/>
        <w:rPr>
          <w:sz w:val="20"/>
          <w:szCs w:val="20"/>
          <w:color w:val="auto"/>
        </w:rPr>
      </w:pPr>
      <w:r>
        <w:rPr>
          <w:rFonts w:ascii="Times New Roman" w:cs="Times New Roman" w:eastAsia="Times New Roman" w:hAnsi="Times New Roman"/>
          <w:sz w:val="18"/>
          <w:szCs w:val="18"/>
          <w:color w:val="auto"/>
        </w:rPr>
        <w:t>mortgage loans, where we would be the servicer (13 states), (3) originating or acquiring new mortgage loans (4 states) and (4) conducting foreclosure activities (2 states), among others. We intend to vigorously defend ourselves against unfounded claims while continuing to work with these regulatory agencies to resolve their concerns. In July 2017, and in connection with the state cease and desist orders, we received a subpoena seeking information relating to lender placed insurance activities. We are cooperating with the subpoena request. We have reached agreements with certain regulatory agencies to obtain delays in the enforcement of certain terms or exceptions to certain terms contained in the cease and desist orders. Additionally, we have revised our operations, where necessary, so as to comply with the orders while we attempt to negotiate resolutions. For example, in certain states, we are arranging to release servicing on new originations, and we temporarily paused our origination activities in two states during the quarter until we received clarification from the states’ authorities about the permissibility of such activities under the respective orders. If we are unable to obtain timely resolutions in certain states, more serious consequences could result. For example, we could be required to transfer all of our mortgage servicing in Massachusetts and we could be required to cease mortgage servicing in Rhode Island. We resolved an outstanding Order in one state by surrendering a dormant lending license, and the state’s Order expired. There were no other substantive terms to this resolution. It is possible that the outcome of these state regulatory actions, whether through negotiated settlements or other resolutions, could be materially adverse to our business, reputation, financial condition, liquidity and results of operations. We cannot currently estimate the amount, if any, of reasonably possible loss related to these matters.</w:t>
      </w:r>
    </w:p>
    <w:p>
      <w:pPr>
        <w:spacing w:after="0" w:line="8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Certain of the state regulators’ cease and desist orders reference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2013-2015 examination. There were no monetary or other penalties under the MOU. Ocwen responded to the MOU items.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continuing to discuss matters with the state regulators that have issued cease and desist orders as we seek to resolve their concerns.</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April 2017, and concurrent with the filing of the CFPB lawsuit discussed above, two state attorneys general took actions against us relating to our servicing practices. The Florida Attorney General filed a lawsuit in the federal district court for the Southern District of Florida against Ocwen, OMS and OLS alleging violations of federal and state consumer financial laws relating to our servicing business. These claims are similar to the claims made by the CFPB. The Florida Attorney General’s lawsuit seeks injunctive and equitable relief, costs, and civil money penalties in excess of $10,000 per confirmed violation of the applicable statute. As previously disclosed, the Massachusetts Attorney General had sent us a civil investigative demand requesting information relating to various aspects of our servicing practices, including lender-placed insurance and property preservation fees. Subsequently, 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The Massachusetts Attorney General’s lawsuit seeks injunctive and equitable relief, costs, and civil money penalties of $5,000 per confirmed violation of the applicable statute. We believe we have valid defenses to the claims made in both lawsuits and are vigorously defending ourselves in both of them. The outcome of these two lawsuits, whether through negotiated settlements in conjunction with other state settlements or otherwise, could be materially adverse to our business, reputation, financial condition, liquidity and results of operations. We cannot currently estimate the amount, if any, of reasonably possible loss related to these matters.</w:t>
      </w:r>
    </w:p>
    <w:p>
      <w:pPr>
        <w:spacing w:after="0" w:line="8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letter stated that at this point, the investigation is preliminary in nature and the Department of Justice has not made any determination as to whether OLS violated the act. In addition, Ocwen is one of three defendants in an administrative complaint pending with HUD brought by a non-profit organization alleging discrimination in the manner in which the company maintains REO properties in minority communities. We believe the allegations to be without merit and will vigorously defend.</w:t>
      </w:r>
    </w:p>
    <w:p>
      <w:pPr>
        <w:spacing w:after="0" w:line="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July 2017, we received a letter from Ginnie Mae in which Ginnie Mae informed us that the state regulators’ cease and desist orders discussed above create a material change in Ocwen’s business status under Chapter 3 of the Ginnie Mae MBS Guide, and Ginnie Mae has accordingly declared an event of default under Guaranty Agreements between Ocwen and Ginnie Mae. In the letter, Ginnie Mae notified Ocwen that it will forbear from immediately exercising any rights relating to this matter for a period of 90 days from the date of the letter. During such forbearance period, Ginnie Mae has asked Ocwen to provide certain information regarding the cease and desist orders and certain information regarding Ocwen’s business plan, financial results and operations. Ginnie Mae stated that it reserves the right to make additional requests of Ocwen and to restrict or</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688" w:right="259" w:bottom="1440" w:gutter="0" w:footer="0" w:header="0"/>
        </w:sectPr>
      </w:pPr>
    </w:p>
    <w:bookmarkStart w:id="48" w:name="page49"/>
    <w:bookmarkEnd w:id="48"/>
    <w:p>
      <w:pPr>
        <w:ind w:right="140"/>
        <w:spacing w:after="0" w:line="256" w:lineRule="auto"/>
        <w:rPr>
          <w:sz w:val="20"/>
          <w:szCs w:val="20"/>
          <w:color w:val="auto"/>
        </w:rPr>
      </w:pPr>
      <w:r>
        <w:rPr>
          <w:rFonts w:ascii="Times New Roman" w:cs="Times New Roman" w:eastAsia="Times New Roman" w:hAnsi="Times New Roman"/>
          <w:sz w:val="18"/>
          <w:szCs w:val="18"/>
          <w:color w:val="auto"/>
        </w:rPr>
        <w:t>terminate Ocwen’s participation in the Ginnie Mae mortgage-backed securities program. Based on our conversations with Ginnie Mae, we understand that Ginnie Mae views this as a violation with a prescribed remedy and that the purpose of the notice is to provide for a period of resolution. We have provided and intend to continue to provide information to Ginnie Mae as we seek to resolve its concerns, including with respect to our efforts to settle the state regulatory matters discussed above. Ginnie Mae has indicated to us that resolution of the state regulators’ cease and desist orders would address its concerns and that there may be other alternatives to address them as well. We continue to operate as a Ginnie Mae issuer in all respects and continue to participate in Ginnie Mae issuing of mortgage-backed securities and home equity conversion loan pools in the ordinary course.</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Adverse actions by Ginnie Mae could materially and adversely impact our business, reputation, financial condition, liquidity and results of operations, including if Ginnie Mae were to terminate us as an issuer or servicer of Ginnie Mae securities or otherwise take action indicating that such a termination was planned. For example, such actions could make financing our business more difficult, including by making future financing more expensive or if a lender were to allege a default under our debt agreements, which could trigger cross-defaults under all of our other material debt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Department of Financial Services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December 2014, we entered into a consent order (the 2014 NY Consent Order) with the NY DFS as a result of an investigation relating to Ocwen’s servicing of residential mortgages. The 2014 NY Consent Order contained monetary and non-monetary provisions including the appointment of a third-party operations monitor (NY Operations Monitor) to monitor various aspects of our operations and restrictions on our ability to acquire MSRs that effectively prohibit any such future acquisitions until we have satisfied certain specified conditions. We were also required to pay all reasonable and necessary costs of the NY Operations Monitor, and those costs were substantial.</w:t>
      </w:r>
    </w:p>
    <w:p>
      <w:pPr>
        <w:spacing w:after="0" w:line="184"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On March 27, 2017, we entered into a consent order (the 2017 NY Consent Order) with the NY DFS that provided for (1) the termination of the engagement of the NY Operations Monitor on April 14, 2017, (2) a regulatory examination of our servicing business, following which the NY DFS would make a determination on whether the restrictions on our ability to acquire MSRs contained in the 2014 NY Consent Order should be eased and (3) certain reporting and other obligations, including in connection with matters identified in a final report by the NY Operations Monitor. In addition, the 2017 NY Consent Order provides that if the NY DFS concludes that we have materially failed to comply with our obligations under the order or otherwise finds that our servicing operations are materially deficient, the NY DFS may, among other things, and, in addition to its general authority to take regulatory action against us, require us to retain an independent consultant to review and issue recommendations on our servicing operations.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NY Operations Monitor delivered its final report on April 14, 2017 when its engagement terminated. The final report contained certain recommended operational enhancements to which we have responded. Under the 2017 NY Consent Order, we are required to update the NY DFS quarterly on our implementation of the enhancements that we and the NY DFS agreed should be made. Our updates to date show that all agreed upon enhancements are being implemented.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Department of Business Oversight</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January 2015, OLS entered into a consent order (the 2015 CA Consent Order) with the CA DBO relating to our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February 17, 2017, OLS and two other subsidiaries, Ocwen Business Solutions, Inc. (OBS) and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Additionally, we have certain reporting and other obligations under the 2017 CA Consent Order. We believe that we have completed those obligations of the 2017 CA Consent Order that have already come due, and we have so notified the CA DBO. If the CA DBO were to allege that we failed to comply with these obligations or otherwise were in breach of applicable laws, regulations or licensing requirements, it could take regulatory action against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Ocwen National Mortgage Settlement</w:t>
      </w:r>
    </w:p>
    <w:p>
      <w:pPr>
        <w:spacing w:after="0" w:line="229"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In December 2013, we entered into a settlement with the CFPB and various state attorneys general and other state agencies that regulate the mortgage servicing industry relating to various allegations regarding deficient mortgage servicing practices, including those with respect to foreclosures (the Ocwen National Mortgage Settlement). The settlement contained monetary and non-monetary provisions, including quarterly testing on various metrics to ensure compliance with the Ocwen National Mortgage Settlement.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688" w:right="259" w:bottom="1440" w:gutter="0" w:footer="0" w:header="0"/>
        </w:sectPr>
      </w:pPr>
    </w:p>
    <w:bookmarkStart w:id="49" w:name="page50"/>
    <w:bookmarkEnd w:id="49"/>
    <w:p>
      <w:pPr>
        <w:ind w:firstLine="324"/>
        <w:spacing w:after="0" w:line="254" w:lineRule="auto"/>
        <w:rPr>
          <w:sz w:val="20"/>
          <w:szCs w:val="20"/>
          <w:color w:val="auto"/>
        </w:rPr>
      </w:pPr>
      <w:r>
        <w:rPr>
          <w:rFonts w:ascii="Times New Roman" w:cs="Times New Roman" w:eastAsia="Times New Roman" w:hAnsi="Times New Roman"/>
          <w:sz w:val="18"/>
          <w:szCs w:val="18"/>
          <w:color w:val="auto"/>
        </w:rPr>
        <w:t>For periods prior to 2016, the Office of Mortgage Settlement Oversight (OMSO) reports have detailed a number of instances where our testing has exceeded the applicable error rate threshold for a specific metric. Exceeding the metric error rate threshold for the first time does not result in a violation of the settlement, but rather it is deemed a “potential violation” which then is subject to a cure period following submission, approval and completion of a corrective action plan (CAP) to OMSO. Any further fails in the cure period or the quarter following that cure period could subject us to financial penalties. These penalties start at an amount of not more than $1.0 million for the first uncured violation and increase to an amount of not more than $5.0 million for the second uncured violation for certain metrics. For the First Quarter 2017 report period, we have reported that we exceeded the applicable error threshold on one metric, which was in the cure period and therefore is an uncured potential violation. Thus, we are potentially subject to an award by the court of equitable relief or a civil penalty of up to $1.0 million.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w:t>
      </w:r>
    </w:p>
    <w:p>
      <w:pPr>
        <w:spacing w:after="0" w:line="7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While, to date, our performance under the Ocwen National Mortgage Settlement has not resulted in financial or other penalties, if we are found to have breached the settlement terms, we could become subject to financial penalties or other regulatory action could be taken against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and Exchange Commission</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February 2015, we received a letter from the New York Regional Office of the SEC (the Staff) informing us that it was conducting an investigation relating to the use of collection agents by mortgage loan servicers. The letter requested that we voluntarily produce documents and information. We believe that the February 2015 letter was also sent to other companies in the industry. On February 11,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are cooperating with the Staff on these matters.</w:t>
      </w:r>
    </w:p>
    <w:p>
      <w:pPr>
        <w:spacing w:after="0" w:line="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 the extent that an examination, monitorship,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Put-Back and Related Contingencies</w:t>
      </w:r>
    </w:p>
    <w:p>
      <w:pPr>
        <w:spacing w:after="0" w:line="121"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concerning loan quality, contents of the loan file or loan underwriting circumstances are inaccurate;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mortgage insurance is not secured within a certain period after closing;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insurance provider denies coverage;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failure to comply, at the individual loan level or otherwise, with regulatory requirements.</w:t>
      </w:r>
    </w:p>
    <w:p>
      <w:pPr>
        <w:spacing w:after="0" w:line="9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Additionally, in one of the servicing contracts that Homeward acquired in 2008 from Freddie Mac, Homeward assumed the origination representations and warranties even though it did not originate the loans.</w:t>
      </w:r>
    </w:p>
    <w:p>
      <w:pPr>
        <w:spacing w:after="0" w:line="54" w:lineRule="exact"/>
        <w:rPr>
          <w:sz w:val="20"/>
          <w:szCs w:val="20"/>
          <w:color w:val="auto"/>
        </w:rPr>
      </w:pPr>
    </w:p>
    <w:p>
      <w:pPr>
        <w:ind w:right="520" w:firstLine="324"/>
        <w:spacing w:after="0" w:line="313" w:lineRule="auto"/>
        <w:rPr>
          <w:sz w:val="20"/>
          <w:szCs w:val="20"/>
          <w:color w:val="auto"/>
        </w:rPr>
      </w:pPr>
      <w:r>
        <w:rPr>
          <w:rFonts w:ascii="Times New Roman" w:cs="Times New Roman" w:eastAsia="Times New Roman" w:hAnsi="Times New Roman"/>
          <w:sz w:val="17"/>
          <w:szCs w:val="17"/>
          <w:color w:val="auto"/>
        </w:rPr>
        <w:t>We receive origination representations and warranties from our network of approved originators in connection with loans we purchase through our correspondent lending channel. To the extent that we have recourse against a third-party originator, we may recover part or all of any loss we incur.</w:t>
      </w:r>
    </w:p>
    <w:p>
      <w:pPr>
        <w:spacing w:after="0" w:line="3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688" w:right="259" w:bottom="1440" w:gutter="0" w:footer="0" w:header="0"/>
        </w:sectPr>
      </w:pPr>
    </w:p>
    <w:bookmarkStart w:id="50" w:name="page51"/>
    <w:bookmarkEnd w:id="50"/>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At June 30, 2017 and June 30, 2016, we had outstanding representation and warranty repurchase demands of $55.8 million UPB (282 loans) and $72.5 million UPB (354 loans), respectively. We review each demand and monitor through resolution, primarily through rescission, loan repurchase or make-whole payment.</w:t>
      </w:r>
    </w:p>
    <w:p>
      <w:pPr>
        <w:spacing w:after="0" w:line="68"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liability for representation and warranty obligations, compensatory fees for foreclosures that may ultimately exceed investor timelines and similar indemnification obligations: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24,285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Provision for representation and warranty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production reserves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Charge-offs and other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33,342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81"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principal and interest losses realized in connection with repurchased loans, make-whole, indemnification and fee payments and settlements net of recoveries, if any.</w:t>
      </w:r>
    </w:p>
    <w:p>
      <w:pPr>
        <w:spacing w:after="0" w:line="51"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2017</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0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disclosed in Note 4 — Sales of Advances and MSRs, on July 23, 2017, Ocwen and certain of its subsidiaries entered into a series of agreements with NRZ related to NRZ’s Rights to MSRs. On the same date, Ocwen and NRZ entered into a share purchase agreement pursuant to which Ocwen sold NRZ 6,075,510 shares of newly-issued Ocwen common stock for $13.9 million. Ocwen received the sales proceeds from NRZ on July 24, 2017 and issued the shares. The shares have not been registered under the Securities Act of 1933 and were issued and sold in reliance upon the exemption from registration contained in Section 4(a)(2) of the Act and Rule 506(b) promulgated thereunder.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88" w:right="239" w:bottom="1440" w:gutter="0" w:footer="0" w:header="0"/>
        </w:sectPr>
      </w:pPr>
    </w:p>
    <w:bookmarkStart w:id="51" w:name="page52"/>
    <w:bookmarkEnd w:id="51"/>
    <w:p>
      <w:pPr>
        <w:ind w:left="980" w:right="2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(Dollars in thousands, except per share amounts and unless otherwise indicated)</w:t>
      </w:r>
    </w:p>
    <w:p>
      <w:pPr>
        <w:spacing w:after="0" w:line="5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You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Amendment No. 1 to our Annual Report on Form 10-K for the year ended December 31, 2016 and our Current Reports on Form 8-K since such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a financial services company that services and originates loans. As of June 30, 2017, our residential servicing portfolio consisted of 1,310,110 loans with a UPB of $194.8 billion. We primarily originate, purchase, sell and securitize conventional and government-insured forward mortgage loans and reverse mortgages. In the second quarter of 2017, our lending business originated or purchased forward and reverse mortgage loans with a UPB of $699.5 million and $275.4 million, respectively.</w:t>
      </w:r>
    </w:p>
    <w:p>
      <w:pPr>
        <w:spacing w:after="0" w:line="7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We are a leader in the servicing industry in foreclosure prevention and loss mitigation that helps families stay in their homes and improves financial outcomes for mortgage loan investors. Our leadership in the industry is evidenced by our high cure rate for delinquent loans and above average rate of continuing performance by homeowners whose loans we have modified. Overall, Ocwen has completed over 745,000 loan modifications from January 1, 2008 through June 30, 2017.</w:t>
      </w:r>
    </w:p>
    <w:p>
      <w:pPr>
        <w:spacing w:after="0" w:line="72"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As discussed in further detail under “Operations Summary” and “Segment Results of Operations” below, while our cost improvement initiative has reduced certain of our operating expenses and we have had success in reducing monitor expenses, continuing regulatory and legal matters are negatively impacting our results.</w:t>
      </w:r>
    </w:p>
    <w:p>
      <w:pPr>
        <w:spacing w:after="0" w:line="176"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7"/>
          <w:szCs w:val="17"/>
          <w:color w:val="auto"/>
        </w:rPr>
        <w:t>We have faced, and expect to continue to face, heightened regulatory and public scrutiny as well as stricter and more comprehensive regulation of our business. Since April 20, 2017, the CFPB, thirty state mortgage and banking regulatory agencies and two state attorneys general took regulatory actions against us alleging various deficiencies in our compliance with laws, regulations and licensing requirements. We continue to work diligently to assess the implications of the regulatory environment in which we operate and to meet the requirements of the current environment. We devote substantial resources to regulatory compliance and to addressing regulatory actions and engagements, while, at the same time, striving to meet the needs and expectations of our customers, clients and other stakeholders. Our business, operating results and financial condition have been significantly impacted in recent periods by legal and other fees and settlement payments related to litigation and regulatory matters, including the costs of third-party monitoring firms under our regulatory settlements. To the extent we are unable to avoid, mitigate or offset similar expenses in future periods, our business, operating results and financial condition will continue to be adversely affected, even if we are successful in our ongoing efforts to optimize our cost structure and improve our financial performance.</w:t>
      </w:r>
    </w:p>
    <w:p>
      <w:pPr>
        <w:spacing w:after="0" w:line="17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our reverse mortgage business has performed well this year, our forward lending business has not grown to the extent we had planned over the last eighteen months due to various factors including rising interest rates, sub-scale operations and higher costs of capital compared to many competitors and the general difficulties in refinancing a lower credit quality servicing portfolio like ours. The recent state regulatory actions against us have also negatively impacted our forward lending business because they have led us to restrict certain types of lending in some states. As such, we have taken various strategic actions with respect to our forward lending business, as we continue to evaluate the overall mortgage lending business and marketplace. For instance, we have closed our correspondent forward lending channel due to low margins, begun selling the MSRs on all of our forward wholesale channel to reduce capital consumption, begun expanding our forward wholesale channel footprint beyond the northeast region of the United States to increase origination volumes and scale, and downsized our forward underwriting and processing operations to be more in line with our sales and marketing efforts. While these changes may limit our generation of future servicing assets in the near term, we believe that they will, over time, reduce costs and improve cash flow relative to current operations.</w:t>
      </w:r>
    </w:p>
    <w:p>
      <w:pPr>
        <w:spacing w:after="0" w:line="7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currently evaluating our long-term strategy for our Automotive Capital Services business. While we still believe that this business has long-term potential, it is a relatively capital intensive business. As our ability to raise capital at competitive levels in the current business and regulatory environment is limited, we believe the Automotive Capital Services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92" w:right="239" w:bottom="1440" w:gutter="0" w:footer="0" w:header="0"/>
        </w:sectPr>
      </w:pPr>
    </w:p>
    <w:bookmarkStart w:id="52" w:name="page53"/>
    <w:bookmarkEnd w:id="5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business may be worth more to a depository institution or an existing auto industry participant such as a consumer auto lender or an auto auction house, than it is to us. Consequently, we are considering the potential benefits of monetizing our investment in this business in the near term, depending upon the level of interest from potential buyers.</w:t>
      </w:r>
    </w:p>
    <w:p>
      <w:pPr>
        <w:spacing w:after="0" w:line="6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Asset sales, portfolio runoff and regulatory restrictions on acquisitions of MSRs have resulted in a 58% decline in our servicing portfolio as compared to December 31, 2013. While we continue to seek operational efficiencies to manage our cost structure as our portfolio continues to shrink, there are limits to our ability to reduce costs through operational adjustments. In addition, due to the expiration of the Federal Government’s HAMP loan modification program, our servicing revenues have been negatively impacted by lower HAMP fees, which have been a significant component of servicing revenue in prior periods. We are continuing to make investments in our servicing technology. For example, we currently intend to transition to a new servicing platform and we have begun migrating to a new document storage platform. While these investments will involve upfront costs, we believe these investments will be beneficial to our business in the long term. While we are currently restricted in our ability to acquire MSRs, and may continue to be restricted for some additional period of time pursuant to any future negotiated resolution with some or all of the state regulatory agencies that have recently taken action against us, absent regulatory restrictions, we would consider acquiring servicing if we view the purchase price and other terms to be attractive and determine such acquisitions were an appropriate use of our available capital at such time. Generally, we would benefit from economies of scale if we were able to increase the size of our servicing portfolio.</w:t>
      </w:r>
    </w:p>
    <w:p>
      <w:pPr>
        <w:spacing w:after="0" w:line="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July 23, 2017, we executed on our previously announced agreement in principle with NRZ to convert NRZ’s existing Rights to MSRs to fully-owned MSRs. In effect, the new arrangements provide for the conversion of the existing arrangements into a more traditional subservicing arrangement and involve upfront payments to Ocwen as MSRs transfer to NRZ over time. As MSRs transfer to NRZ (which would follow receipt of the necessary third-party consents), NRZ will pay a lump sum restructuring fee to Ocwen upon each transfer of such MSRs in exchange for Ocwen foregoing payments under the existing 2012 and 2013 agreements. The amount of these lump sum restructuring fees is based on the amortized value of the transferred MSRs and decreases over time. If all MSRs had transferred to NRZ as of June 30, 2017, such fees would have totaled approximately $400.0 million. Conceptually, these upfront payments are a proxy for the net present value of the difference between higher future fees for servicing the mortgage loans under the existing agreements and the lower fees for servicing the mortgage loans under the new subservicing arrangements. NRZ also made an equity investment in Ocwen, acquiring 6,075,510 newly-issued common shares for $13.9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 appearing in Amendment No. 1 to our Annual Report on Form 10-K for the fiscal year ended December 31, 2016.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688"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Operations Summary</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presents summarized consolidated operating results: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255,801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307,262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528,303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604,758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28,255</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27,857</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51,199</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43,429</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37,935</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55,624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311,300</w:t>
            </w:r>
          </w:p>
        </w:tc>
        <w:tc>
          <w:tcPr>
            <w:tcW w:w="1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373,054</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633,164</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703,811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91"/>
        </w:trPr>
        <w:tc>
          <w:tcPr>
            <w:tcW w:w="3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98,422</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182,212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194,671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64,516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89,987</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132,423</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185,679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121,399</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192,306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24,254</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32,709</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51,601</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59,578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20,708</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45,453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8,347</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21,153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13,446</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14,835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280,480</w:t>
            </w:r>
          </w:p>
        </w:tc>
        <w:tc>
          <w:tcPr>
            <w:tcW w:w="1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385,018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556,863</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713,675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64"/>
        </w:trPr>
        <w:tc>
          <w:tcPr>
            <w:tcW w:w="38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sale of mortgage servicing rights, net</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5,746</w:t>
            </w: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1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(84,434)</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(188,659)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(41,608)</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(96,398)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(198,523)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(44,436)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(87,218)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(198,419)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Ocwen stockholders</w:t>
            </w: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1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auto"/>
            </w:tcBorders>
            <w:shd w:val="clear" w:color="auto" w:fill="EAF9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(87,378)</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(77,231)</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(198,709)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Segment income (loss) before income taxes:</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5,010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4,431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(89,224)</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(41,608)</w:t>
            </w:r>
          </w:p>
        </w:tc>
        <w:tc>
          <w:tcPr>
            <w:tcW w:w="1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auto"/>
            </w:tcBorders>
            <w:shd w:val="clear" w:color="auto" w:fill="EAF9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(96,398)</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(198,523)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versus 2016</w:t>
      </w:r>
    </w:p>
    <w:p>
      <w:pPr>
        <w:spacing w:after="0" w:line="121"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auto"/>
        </w:rPr>
        <w:t>Servicing and subservicing fees for the second quarter of 2017 were $51.5 million, or 17%, lower than the second quarter of 2016, primarily due to portfolio runoff. Additionally, the number of completed modifications declined as a result of the expiration of the HAMP program on December 31, 2016. The average UPB and average number of assets in our residential portfolio declined 15% and 13%, respectively, as compared to the second quarter of 2016.</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Expenses were $104.5 million, or 27%, lower in the second quarter of 2017 as compared to the second quarter of 2016.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86" w:right="239" w:bottom="1440" w:gutter="0" w:footer="0" w:header="0"/>
        </w:sectPr>
      </w:pPr>
    </w:p>
    <w:bookmarkStart w:id="54" w:name="page55"/>
    <w:bookmarkEnd w:id="54"/>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MSR amortization and valuation adjustments (including both fair value adjustments and impairment charges), decreased $5.7 million as compared to the second quarter of 2016, principally due to a $5.8 million decrease in impairment charges related to our government insured MSRs and the effects of portfolio runoff. A decline in MSR fair value losses in the second quarter of 2017 was offset by an increase in amortization expense that resulted from a benefit recognized in the second quarter of 2016 related to the sale of non-performing loans conveyed to HUD as part of the Aged Delinquent Portfolio Loan Sale (ADPLS) program. Monitor expenses, which are included in Professional services expense, decreased $27.7 million as compared to the second quarter of 2016 primarily as a result of reduced costs related to the CA Auditor, whose appointment was terminated in February 2017, and the NY Operations Monitor, whose appointment was terminated in April 2017.</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Excluding MSR amortization and valuation adjustments and monitor expenses, expenses were $71.2 million, or 23%, lower as compared to the second quarter of 2016. Professional services expense, excluding monitor expenses, was $28.3 million, or 30%, lower in the second quarter of 2017 as compared to the second quarter of 2016 due to a $28.7 million decline in legal expenses. Professional services expense for the second quarter of 2017 includes a $48.0 million increase in our accrual for the Securities Class Action matter, while the second quarter of 2016 included $30.0 million recorded in connection with the settlement of the Fisher Cases and $15.0 million recorded in connection with our discussions with the CA DBO that resulted in the termination of the 2015 CA Consent Order. Offsetting legal settlement expenses recognized in the second quarter of 2017 are $35.8 million of anticipated recoveries, including a $21.8 million recovery of prior settlement expenses and a $14.0 million insurance recovery against our aggregate exposure in the Securities Class Action matter.</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Servicing and origination expense, excluding MSR valuation adjustments, decreased $15.5 million, or 30%, primarily due to a decrease in the provision for bad debts and Ginnie Mae claim losses. Technology and communications expense declined by $8.5 million, or 26%, because of the effects of our efforts in 2016 to bring a greater portion of our technology services in-house together with the effect of the decrease in the size of our servicing portfolio on certain technology fees such as document imaging. Compensation and benefits expense declined $8.0 million, or 8%, as average headcount declined by 12%, including a 9% reduction in U.S.-based headcount. The decline in headcount occurred principally in our Servicing business where headcount declined by 20%, including a 20% reduction in the U.S. Occupancy and equipment expense declined by $4.2 million, or 20%, largely because of the effect of the decline in the size of the servicing portfolio on various expenses, particularly postage and other delivery services, and the effect of consolidating facilities. Other expense decreased by $6.7 million, or 50%, primarily due to a $5.9 million decrease in the provision for indemnification obligations.</w:t>
      </w:r>
    </w:p>
    <w:p>
      <w:pPr>
        <w:spacing w:after="0" w:line="18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Interest expense for the second quarter of 2017 declined $9.9 million, or 11%, as compared to the second quarter of 2016 primarily due to lower match funded liabilities consistent with the decline in servicing advances and the effect of the higher amortization of facility costs in the second quarter of 2016. In addition, interest expense for the second quarter of 2016 included $4.3 million of additional payments to NRZ to compensate it for certain increased costs associated with an earlier downgrade of our S&amp;P servicer rating.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versus 2016</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Servicing and subservicing fees declined $76.5 million, or 13%, in the six months ended June 30, 2017 as compared to the same period of 2016. This decline is primarily due to portfolio runoff and a reduction in the number of completed modifications. The average UPB and average number of assets in our residential portfolio declined 15% and 13%, respectively, as compared to the six months ended June 30, 2016.</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Gains on loans held for sale for the six months ended June 30, 2017 increased $7.8 million, or 18%, as compared to the six months ended June 30, 2016. Gains on loans held for sale from our lending operations increased $8.8 million, primarily as a result of higher origination volumes and margins in our reverse lending business.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Expenses for the six months ended June 30, 2017 were $156.8 million, or 22%, lower than the same period of 2016.</w:t>
      </w:r>
    </w:p>
    <w:p>
      <w:pPr>
        <w:spacing w:after="0" w:line="22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MSR amortization and valuation adjustments decreased $37.3 million, or 31%, principally due to a $34.4 million decrease in impairment charges related to our government insured MSRs and the effects of portfolio runoff. Monitor expenses for the six months ended June 30, 2017 were $53.3 million lower than the same period last year, primarily as a result of the termination of the CA Auditor and NY Operations Monitor appointments in 2017.</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Excluding MSR amortization and valuation adjustments and monitor expenses, expenses for the six months ended June 30, 2017 were $66.2 million, or 12%, lower than the same period a year ago. Professional services expense, excluding monitor expenses, was $31.8 million, or 24%, lower for the six months ended June 30, 2017 as compared to the same period of 2016 due to a $30.4 million decline in legal expenses. We recorded $35.8 million of anticipated recoveries of litigation settlements in the second quarter of 2017 as an offset to legal expenses. Compensation and benefits expense declined $12.5 million, or 6%, as average headcount declined by 10%, including a 9% reduction in U.S.-based headcount. The decline in headcount occurred principally in our Servicing business where headcount declined by 19%, including a 21% reduction in the U.S. Servicing and origination expense, excluding MSR valuation adjustments, decreased $11.7 million, or 13%. Occupancy and equipment expense declined by $11.2 million, or 25%, largely because of the effect of the decline in the size of the servicing portfolio on</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88" w:right="239" w:bottom="1440" w:gutter="0" w:footer="0" w:header="0"/>
        </w:sectPr>
      </w:pPr>
    </w:p>
    <w:bookmarkStart w:id="55" w:name="page56"/>
    <w:bookmarkEnd w:id="55"/>
    <w:p>
      <w:pPr>
        <w:ind w:right="40"/>
        <w:spacing w:after="0" w:line="256" w:lineRule="auto"/>
        <w:rPr>
          <w:sz w:val="20"/>
          <w:szCs w:val="20"/>
          <w:color w:val="auto"/>
        </w:rPr>
      </w:pPr>
      <w:r>
        <w:rPr>
          <w:rFonts w:ascii="Times New Roman" w:cs="Times New Roman" w:eastAsia="Times New Roman" w:hAnsi="Times New Roman"/>
          <w:sz w:val="18"/>
          <w:szCs w:val="18"/>
          <w:color w:val="auto"/>
        </w:rPr>
        <w:t>various expenses, particularly postage and other delivery services, and the effect of consolidating facilities. Technology and communications expense declined by $8.0 million, or 13%, because of efforts to bring technology services in-house and the effects of a declining servicing portfolio on technology fees. Other expense increased by $8.9 million, or 60%, primarily due to a $5.1 million increase in provision for losses on automotive dealer financing notes. The loss provision recorded by the ACS business on its portfolio of automotive dealer financing notes was required principally because of the deterioration since December 31, 2016 in the credit quality of notes due from certain dealers. Due to the increase in the age of these notes, we have assumed that the notes due from these dealers are fully collateral-dependent, with no recoveries beyond estimated liquidation value of the remaining unsold inventory.</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Interest expense for the six months ended June 30, 2017 declined $31.9 million, or 16%, as compared to the same period of the prior year primarily due to declines in the value of the NRZ financing liability, principally as a result of runoff of the NRZ servicing portfolio, lower match funded liabilities consistent with the decline in servicing advances and the effect of the higher amortization of facility costs in 2016. In addition, interest expense for the six months ended June 30, 2016 included $10.5 million of additional payments to NRZ to compensate it for certain increased costs associated with an earlier downgrade of our S&amp;P servicer rating.</w:t>
      </w:r>
    </w:p>
    <w:p>
      <w:pPr>
        <w:spacing w:after="0" w:line="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we incurred a pre-tax loss of $72.1 million for the six months ended June 30, 2017, we recorded income tax expense of $5.0 million due to the mix of earnings among different tax jurisdictions with different statutory tax rates, which impacts the amount of the tax benefit or expense recorded. Finally, we recognized income tax expense related to uncertain tax positions. The overall effective tax rate for the six months ended June 30, 2017 was (6.9)%, compared to 0.1% for the six months ended June 30, 2016. This change primarily resulted from a decrease in tax benefits resulting from our inability to carry back current losses that are being generated in the U.S. and USVI tax jurisdictions, offset by a decrease in tax expense related to uncertain tax positions recorded in the six months ended June 30, 2017 as compared to the six months ended June 30, 2016.</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240" w:top="688"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6"/>
        </w:trPr>
        <w:tc>
          <w:tcPr>
            <w:tcW w:w="7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Condition Summary</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85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summarized consolidated balance sheet data at the dates indicated:</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6"/>
        </w:trPr>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70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251,472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256,549</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1,042,978</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Advances and match funded advances</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1,478,255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1,709,846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314,006</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4,223,776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3,565,716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766,568</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0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7,932,392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7,655,663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assets by segment: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2,975,458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3,312,371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4,483,652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3,863,862</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479,430</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0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7,932,392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7,655,663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4,061,626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3,433,781</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financing liabilities</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533,806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579,031</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1,108,377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1,280,997</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SSTL and other secured borrowings, net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643,860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678,543</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347,063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346,789</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681,239</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0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7,352,145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7,000,380</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liabilities by segment:</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2,096,850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2,369,697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4,390,375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3,785,974</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844,709</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0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7,352,145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7,000,380</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4"/>
        </w:trPr>
        <w:tc>
          <w:tcPr>
            <w:tcW w:w="70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580,247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655,283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Changes in the composition and balance of our assets and liabilities during the six months ended June 30, 2017 are principally attributable to Loans held for investment and Financing liabilities, which increased as a result of our reverse mortgage securitizations accounted for as secured financings. Match funded liabilities declined consistent with lower advances and match funded advances on a declining servicing portfolio. Total equity declined as a result of the net loss we incurred for the six months ended June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Our activities are organized into two reportable business segments that reflect our primary lines of business - Servicing and Lending - as well as a Corporate Items and Other segment. While our expense allocation methodology for the current period is consistent with that used in prior periods presented, during the first quarter of 2017, we moved certain functions which had been associated with corporate cost centers to our Lending and Servicing segments because these functions align more closely with those segments. As applicable, the results of operations for the three and six months ended June 30, 2016 have been recast to conform to the current period presentation. As a result of these changes, income before income taxes for the Lending segment decreased for the three and six months ended June 30, 2016 by $2.5 million and $5.1 million, respectively, while loss before income taxes for the Servicing segment decreased by the same amount for the same periods.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6"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121" w:lineRule="exact"/>
        <w:rPr>
          <w:sz w:val="20"/>
          <w:szCs w:val="20"/>
          <w:color w:val="auto"/>
        </w:rPr>
      </w:pPr>
    </w:p>
    <w:p>
      <w:pPr>
        <w:ind w:right="240" w:firstLine="324"/>
        <w:spacing w:after="0" w:line="233" w:lineRule="auto"/>
        <w:rPr>
          <w:sz w:val="20"/>
          <w:szCs w:val="20"/>
          <w:color w:val="auto"/>
        </w:rPr>
      </w:pPr>
      <w:r>
        <w:rPr>
          <w:rFonts w:ascii="Times New Roman" w:cs="Times New Roman" w:eastAsia="Times New Roman" w:hAnsi="Times New Roman"/>
          <w:sz w:val="18"/>
          <w:szCs w:val="18"/>
          <w:color w:val="auto"/>
        </w:rPr>
        <w:t>We earn contractual monthly servicing fees pursuant to servicing agreements (which are typically payable as a percentage of UPB) as well as ancillary fees, including HAMP fees, float earnings, REO referral commissions, Speedpay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fees and late fees, in connection with owned MSRs. We also earn fees under both subservicing and special servicing arrangements with banks and other institutions that own the MSRs. We typically earn these fees either as a percentage of UPB or on a per loan basis. Per loan fees typically vary based on delinquency status.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Resolutions</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Because we recognize servicing fees as revenue when the fees are earned, loan resolution activities are important to our financial performance. We recognize delinquent servicing fees and late fees as revenue when we collect cash on resolved loans, where permitted.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the best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Because the majority of our loan modifications have been in connection with the HAMP loan modification program, we anticipate that its expiration on December 31, 2016, will significantly, and adversely, affect our servicing revenue and the financial performance of our servicing segment in future periods as it is unlikely that any new modification programs will include the incentive fee portion of revenue that is received with respect to successful HAMP modifications. By implementing new modification programs of our own to replace HAMP, we expect to continue to realize the other benefits associated with such resolutions, including the collection of delinquent servicing fees and lower costs of servicing the performing loan. We estimate the balance of deferred servicing fees related to delinquent borrower payments was $336.8 million and $380.2 million, respectively, at June 30, 2017 and December 31, 2016. Deferred servicing fees attributable to the MSRs underlying NRZ’s Rights to MSRs were $279.1 million at June 30, 2017. We are contractually obligated to remit to NRZ all deferred servicing fees collected in connection with MSRs underlying Rights to MSRs. However, under our 2012 and 2013 agreements with NRZ, in addition to base servicing fees, we are entitled to performance fees that increase to the extent we collect deferred servicing fees. As such, the majority of the deferred servicing fees collected are recognized by us as additional revenue without a corresponding increase in interest expense related to the NRZ financing liability. On July 23, 2017, we executed on our previously announced agreement in principle with NRZ to convert NRZ’s existing Rights to MSRs to fully-owned MSRs. As MSRs transfer to NRZ under our July 2017 agreements, we will subservice the mortgage loans to which the MSRs relate and NRZ will receive all deferred service fees.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Obligation</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a servicer, we are generally obliged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where permitted including T&amp;I and Corporate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w:t>
      </w:r>
    </w:p>
    <w:p>
      <w:pPr>
        <w:spacing w:after="0" w:line="8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 NRZ effectively funds advances on loans for which we have sold the Rights to MSRs because NRZ is contractually required to reimburse us for the advances we make on those loans under our agreements with NRZ.</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Servicer Ratings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Similar to other servicers, we are the subject of mortgage servicer ratings or rankings (collectively, ratings) issued and revised from time to time by rating agencies including Moody’s, Morningstar, S&amp;P and Fitch. Favorable ratings from these agencies are important to the conduct of our loan servicing and lending businesses.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76" w:right="2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Morningstar</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Fitch</w:t>
            </w:r>
          </w:p>
        </w:tc>
      </w:tr>
      <w:tr>
        <w:trPr>
          <w:trHeight w:val="27"/>
        </w:trPr>
        <w:tc>
          <w:tcPr>
            <w:tcW w:w="424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Residential Prime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Subprime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MOR RS3</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Residential Special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RSS3-</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Second/Subordinate Lien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Residential Home Equity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 Alt-A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RPS3-</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Master Servicing</w:t>
            </w:r>
          </w:p>
        </w:tc>
        <w:tc>
          <w:tcPr>
            <w:tcW w:w="18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RMS3-</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Ratings Outlook</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Alert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Negative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424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of last action</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24, 2017</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April 25, 2017</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9, 2016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25, 2017</w:t>
            </w:r>
          </w:p>
        </w:tc>
      </w:tr>
    </w:tbl>
    <w:p>
      <w:pPr>
        <w:spacing w:after="0" w:line="117"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S&amp;P’s servicer ratings outlook for Ocwen is stable in general and its outlook for master servicing is positive. Fitch Ratings changed the servicer ratings Outlook to Negative from Stable on April 25, 2017. Moody’s placed the servicer ratings on Review for Downgrade on April 24, 2017. Morningstar changed its forecast to On Alert from Positive on April 25, 2017.</w:t>
      </w:r>
    </w:p>
    <w:p>
      <w:pPr>
        <w:spacing w:after="0" w:line="18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 Under our July 2017 agreements with NRZ, NRZ has agreed to a standstill through January 23, 2019, subject to limited exceptions, on exercising rights it would otherwise have under the existing 2012 and 2013 agreements to replace Ocwen as servicer of certain MSRs in the event of a termination event with respect to an affected servicing agreement underlying the MSRs resulting from a servicer rating downgrade.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88" w:right="239" w:bottom="1440" w:gutter="0" w:footer="0" w:header="0"/>
        </w:sectPr>
      </w:pPr>
    </w:p>
    <w:bookmarkStart w:id="59" w:name="page60"/>
    <w:bookmarkEnd w:id="59"/>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of our Servicing segment. The amounts presented are before the elimination of balances and transactions with our other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254,296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304,972</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524,846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600,832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2,427</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4,208</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255,937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307,399</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528,742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605,040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6,816</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10,905</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21,544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271,784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325,120</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555,802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632,547</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4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40,244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48,533</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81,366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98,660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78,905</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171,879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36,081</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34,928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69,584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13,407</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28,869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14,916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24,333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35,466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8,269</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20,994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52,132</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57,640</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108,561</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106,618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257,751</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418,842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532,070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4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(81,197)</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2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sale of mortgage servicing rights,</w:t>
            </w: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2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(60,638)</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(79,553)</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(124,613)</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(178,340)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12,347</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(77,863)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color w:val="auto"/>
        </w:rPr>
        <w:t>The following tables provide selected operating statistics: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Unpaid principal balance (UPB):</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Performing loans (1)</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3"/>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176,157,476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w w:val="99"/>
              </w:rPr>
              <w:t>201,912,663</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14,974,130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22,362,029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3,666,818</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5,001,309</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840" w:type="dxa"/>
            <w:vAlign w:val="bottom"/>
            <w:tcBorders>
              <w:bottom w:val="single" w:sz="8" w:color="EAF9E8"/>
            </w:tcBorders>
            <w:gridSpan w:val="2"/>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194,798,424</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229,276,001</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84"/>
        </w:trPr>
        <w:tc>
          <w:tcPr>
            <w:tcW w:w="29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Conventional loans (2)</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55,970,874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70,129,116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Government-insured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w w:val="98"/>
              </w:rPr>
              <w:t>22,313,551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24,420,007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Non-Agency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116,513,999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134,726,878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c>
          <w:tcPr>
            <w:tcW w:w="1140" w:type="dxa"/>
            <w:vAlign w:val="bottom"/>
            <w:gridSpan w:val="3"/>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AF9E8"/>
          </w:tcPr>
          <w:p>
            <w:pPr>
              <w:spacing w:after="0"/>
              <w:rPr>
                <w:sz w:val="22"/>
                <w:szCs w:val="22"/>
                <w:color w:val="auto"/>
              </w:rPr>
            </w:pPr>
          </w:p>
        </w:tc>
        <w:tc>
          <w:tcPr>
            <w:tcW w:w="1160" w:type="dxa"/>
            <w:vAlign w:val="bottom"/>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194,798,424</w:t>
            </w:r>
          </w:p>
        </w:tc>
        <w:tc>
          <w:tcPr>
            <w:tcW w:w="100" w:type="dxa"/>
            <w:vAlign w:val="bottom"/>
            <w:shd w:val="clear" w:color="auto" w:fill="EAF9E8"/>
          </w:tcPr>
          <w:p>
            <w:pPr>
              <w:spacing w:after="0"/>
              <w:rPr>
                <w:sz w:val="22"/>
                <w:szCs w:val="22"/>
                <w:color w:val="auto"/>
              </w:rPr>
            </w:pPr>
          </w:p>
        </w:tc>
        <w:tc>
          <w:tcPr>
            <w:tcW w:w="2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2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w w:val="99"/>
              </w:rPr>
              <w:t>229,276,001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9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74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i w:val="1"/>
                <w:iCs w:val="1"/>
                <w:color w:val="auto"/>
              </w:rPr>
              <w:t>Percent of total UPB:</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Non-performing assets</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97"/>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i w:val="1"/>
                <w:iCs w:val="1"/>
                <w:color w:val="auto"/>
              </w:rPr>
              <w:t>Count:</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Performing loans (1)</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1,215,834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1,370,064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Non-performing loans</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75,421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110,369</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18,855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74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auto"/>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1,310,110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spacing w:after="0"/>
              <w:rPr>
                <w:sz w:val="22"/>
                <w:szCs w:val="22"/>
                <w:color w:val="auto"/>
              </w:rPr>
            </w:pPr>
          </w:p>
        </w:tc>
        <w:tc>
          <w:tcPr>
            <w:tcW w:w="112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1,506,490</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Conventional loans (3)</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331,336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401,104</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Government-insured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163,509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177,587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Non-Agency loans</w:t>
            </w: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815,265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927,799</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97"/>
        </w:trPr>
        <w:tc>
          <w:tcPr>
            <w:tcW w:w="296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80" w:type="dxa"/>
            <w:vAlign w:val="bottom"/>
            <w:tcBorders>
              <w:bottom w:val="single" w:sz="8" w:color="EAF9E8"/>
            </w:tcBorders>
          </w:tcPr>
          <w:p>
            <w:pPr>
              <w:spacing w:after="0"/>
              <w:rPr>
                <w:sz w:val="24"/>
                <w:szCs w:val="24"/>
                <w:color w:val="auto"/>
              </w:rPr>
            </w:pPr>
          </w:p>
        </w:tc>
        <w:tc>
          <w:tcPr>
            <w:tcW w:w="118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74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1,310,110</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1,506,490</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11"/>
        </w:trPr>
        <w:tc>
          <w:tcPr>
            <w:tcW w:w="29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Percent of total count:</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Non-performing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05"/>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i w:val="1"/>
                <w:iCs w:val="1"/>
                <w:color w:val="auto"/>
              </w:rPr>
              <w:t>Average UPB:</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82,678,931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96,132,651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83,467,579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97,561,456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4,140,396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6,307,062</w:t>
            </w:r>
          </w:p>
        </w:tc>
        <w:tc>
          <w:tcPr>
            <w:tcW w:w="1140" w:type="dxa"/>
            <w:vAlign w:val="bottom"/>
            <w:tcBorders>
              <w:bottom w:val="single" w:sz="8" w:color="EAF9E8"/>
            </w:tcBorders>
            <w:gridSpan w:val="3"/>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3"/>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4,192,076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3"/>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8,178,086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111,981,031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130,528,844</w:t>
            </w: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114,624,705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132,743,871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198,800,358</w:t>
            </w:r>
          </w:p>
        </w:tc>
        <w:tc>
          <w:tcPr>
            <w:tcW w:w="400" w:type="dxa"/>
            <w:vAlign w:val="bottom"/>
            <w:gridSpan w:val="2"/>
            <w:shd w:val="clear" w:color="auto" w:fill="EAF9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232,968,557</w:t>
            </w:r>
          </w:p>
        </w:tc>
        <w:tc>
          <w:tcPr>
            <w:tcW w:w="1140" w:type="dxa"/>
            <w:vAlign w:val="bottom"/>
            <w:gridSpan w:val="3"/>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202,284,360</w:t>
            </w:r>
          </w:p>
        </w:tc>
        <w:tc>
          <w:tcPr>
            <w:tcW w:w="12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EAF9E8"/>
          </w:tcPr>
          <w:p>
            <w:pPr>
              <w:jc w:val="right"/>
              <w:ind w:right="120"/>
              <w:spacing w:after="0"/>
              <w:rPr>
                <w:sz w:val="20"/>
                <w:szCs w:val="20"/>
                <w:color w:val="auto"/>
              </w:rPr>
            </w:pPr>
            <w:r>
              <w:rPr>
                <w:rFonts w:ascii="Times New Roman" w:cs="Times New Roman" w:eastAsia="Times New Roman" w:hAnsi="Times New Roman"/>
                <w:sz w:val="18"/>
                <w:szCs w:val="18"/>
                <w:color w:val="auto"/>
              </w:rPr>
              <w:t>238,483,413</w:t>
            </w: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9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74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688" w:right="2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i w:val="1"/>
                <w:iCs w:val="1"/>
                <w:color w:val="auto"/>
              </w:rPr>
              <w:t>Prepayment speed (average CPR)</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Voluntary</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 Involuntary</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CPR due to principal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modification</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Average count: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526,279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603,347</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531,279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611,903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42,674</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52,389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NRZ (3)</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775,836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882,049</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791,692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894,158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1,332,715</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1,528,070</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1,353,635</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1,558,450</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11"/>
        </w:trPr>
        <w:tc>
          <w:tcPr>
            <w:tcW w:w="2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 Servicing and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Subservicing Fees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8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Loan servicing and subservicing</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fees:</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65,362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75,832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133,216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153,291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Subservicing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3,197</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8,447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NRZ</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160,518</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290,923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322,647</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210,938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239,547</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428,172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484,385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HAMP fees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33,486</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56,108</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17,380</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32,243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35,906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 collection fees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6,974</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14,093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11,409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7,585</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20,737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10,340</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254,296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304,972</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524,846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600,832</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84"/>
        </w:trPr>
        <w:tc>
          <w:tcPr>
            <w:tcW w:w="2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Expense on NRZ/HLSS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Financing Liability (4)</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8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fees collected on behalf</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of NRZ/HLSS</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143,612</w:t>
            </w:r>
          </w:p>
        </w:tc>
        <w:tc>
          <w:tcPr>
            <w:tcW w:w="4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160,518</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290,923</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322,647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Subservicing fee retained by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Ocwen</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78,794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85,532</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169,902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EAF9E8"/>
          </w:tcPr>
          <w:p>
            <w:pPr>
              <w:ind w:left="380"/>
              <w:spacing w:after="0" w:line="205" w:lineRule="exact"/>
              <w:rPr>
                <w:sz w:val="20"/>
                <w:szCs w:val="20"/>
                <w:color w:val="auto"/>
              </w:rPr>
            </w:pPr>
            <w:r>
              <w:rPr>
                <w:rFonts w:ascii="Times New Roman" w:cs="Times New Roman" w:eastAsia="Times New Roman" w:hAnsi="Times New Roman"/>
                <w:sz w:val="18"/>
                <w:szCs w:val="18"/>
                <w:color w:val="auto"/>
              </w:rPr>
              <w:t>Net servicing fees remitted to</w:t>
            </w:r>
          </w:p>
        </w:tc>
        <w:tc>
          <w:tcPr>
            <w:tcW w:w="3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EAF9E8"/>
            </w:tcBorders>
            <w:shd w:val="clear" w:color="auto" w:fill="EAF9E8"/>
          </w:tcPr>
          <w:p>
            <w:pPr>
              <w:ind w:left="540"/>
              <w:spacing w:after="0"/>
              <w:rPr>
                <w:sz w:val="20"/>
                <w:szCs w:val="20"/>
                <w:color w:val="auto"/>
              </w:rPr>
            </w:pPr>
            <w:r>
              <w:rPr>
                <w:rFonts w:ascii="Times New Roman" w:cs="Times New Roman" w:eastAsia="Times New Roman" w:hAnsi="Times New Roman"/>
                <w:sz w:val="18"/>
                <w:szCs w:val="18"/>
                <w:color w:val="auto"/>
              </w:rPr>
              <w:t>NRZ/HLSS</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64,818</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74,986</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132,976</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152,745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Reduction in financing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liability</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27,628</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33,193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45,829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EAF9E8"/>
          </w:tcPr>
          <w:p>
            <w:pPr>
              <w:ind w:left="380"/>
              <w:spacing w:after="0" w:line="205" w:lineRule="exact"/>
              <w:rPr>
                <w:sz w:val="20"/>
                <w:szCs w:val="20"/>
                <w:color w:val="auto"/>
              </w:rPr>
            </w:pPr>
            <w:r>
              <w:rPr>
                <w:rFonts w:ascii="Times New Roman" w:cs="Times New Roman" w:eastAsia="Times New Roman" w:hAnsi="Times New Roman"/>
                <w:sz w:val="18"/>
                <w:szCs w:val="18"/>
                <w:color w:val="auto"/>
              </w:rPr>
              <w:t>Interest expense on NRZ/HLSS</w:t>
            </w:r>
          </w:p>
        </w:tc>
        <w:tc>
          <w:tcPr>
            <w:tcW w:w="340" w:type="dxa"/>
            <w:vAlign w:val="bottom"/>
            <w:vMerge w:val="restart"/>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48,624</w:t>
            </w:r>
          </w:p>
        </w:tc>
        <w:tc>
          <w:tcPr>
            <w:tcW w:w="440" w:type="dxa"/>
            <w:vAlign w:val="bottom"/>
            <w:gridSpan w:val="2"/>
            <w:vMerge w:val="restart"/>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47,358</w:t>
            </w:r>
          </w:p>
        </w:tc>
        <w:tc>
          <w:tcPr>
            <w:tcW w:w="1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40" w:type="dxa"/>
            <w:vAlign w:val="bottom"/>
            <w:vMerge w:val="restart"/>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99,783</w:t>
            </w:r>
          </w:p>
        </w:tc>
        <w:tc>
          <w:tcPr>
            <w:tcW w:w="100" w:type="dxa"/>
            <w:vAlign w:val="bottom"/>
            <w:shd w:val="clear" w:color="auto" w:fill="EAF9E8"/>
          </w:tcPr>
          <w:p>
            <w:pPr>
              <w:spacing w:after="0"/>
              <w:rPr>
                <w:sz w:val="17"/>
                <w:szCs w:val="17"/>
                <w:color w:val="auto"/>
              </w:rPr>
            </w:pPr>
          </w:p>
        </w:tc>
        <w:tc>
          <w:tcPr>
            <w:tcW w:w="340" w:type="dxa"/>
            <w:vAlign w:val="bottom"/>
            <w:vMerge w:val="restart"/>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106,916</w:t>
            </w: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80" w:type="dxa"/>
            <w:vAlign w:val="bottom"/>
            <w:shd w:val="clear" w:color="auto" w:fill="EAF9E8"/>
          </w:tcPr>
          <w:p>
            <w:pPr>
              <w:ind w:left="540"/>
              <w:spacing w:after="0"/>
              <w:rPr>
                <w:sz w:val="20"/>
                <w:szCs w:val="20"/>
                <w:color w:val="auto"/>
              </w:rPr>
            </w:pPr>
            <w:r>
              <w:rPr>
                <w:rFonts w:ascii="Times New Roman" w:cs="Times New Roman" w:eastAsia="Times New Roman" w:hAnsi="Times New Roman"/>
                <w:sz w:val="18"/>
                <w:szCs w:val="18"/>
                <w:color w:val="auto"/>
              </w:rPr>
              <w:t>financing liability</w:t>
            </w:r>
          </w:p>
        </w:tc>
        <w:tc>
          <w:tcPr>
            <w:tcW w:w="340" w:type="dxa"/>
            <w:vAlign w:val="bottom"/>
            <w:vMerge w:val="continue"/>
            <w:shd w:val="clear" w:color="auto" w:fill="EAF9E8"/>
          </w:tcPr>
          <w:p>
            <w:pPr>
              <w:spacing w:after="0"/>
              <w:rPr>
                <w:sz w:val="20"/>
                <w:szCs w:val="20"/>
                <w:color w:val="auto"/>
              </w:rPr>
            </w:pPr>
          </w:p>
        </w:tc>
        <w:tc>
          <w:tcPr>
            <w:tcW w:w="1140" w:type="dxa"/>
            <w:vAlign w:val="bottom"/>
            <w:vMerge w:val="continue"/>
            <w:shd w:val="clear" w:color="auto" w:fill="EAF9E8"/>
          </w:tcPr>
          <w:p>
            <w:pPr>
              <w:spacing w:after="0"/>
              <w:rPr>
                <w:sz w:val="20"/>
                <w:szCs w:val="20"/>
                <w:color w:val="auto"/>
              </w:rPr>
            </w:pPr>
          </w:p>
        </w:tc>
        <w:tc>
          <w:tcPr>
            <w:tcW w:w="440" w:type="dxa"/>
            <w:vAlign w:val="bottom"/>
            <w:gridSpan w:val="2"/>
            <w:vMerge w:val="continue"/>
            <w:shd w:val="clear" w:color="auto" w:fill="EAF9E8"/>
          </w:tcPr>
          <w:p>
            <w:pPr>
              <w:spacing w:after="0"/>
              <w:rPr>
                <w:sz w:val="20"/>
                <w:szCs w:val="20"/>
                <w:color w:val="auto"/>
              </w:rPr>
            </w:pPr>
          </w:p>
        </w:tc>
        <w:tc>
          <w:tcPr>
            <w:tcW w:w="1160" w:type="dxa"/>
            <w:vAlign w:val="bottom"/>
            <w:vMerge w:val="continue"/>
            <w:shd w:val="clear" w:color="auto" w:fill="EAF9E8"/>
          </w:tcPr>
          <w:p>
            <w:pPr>
              <w:spacing w:after="0"/>
              <w:rPr>
                <w:sz w:val="20"/>
                <w:szCs w:val="20"/>
                <w:color w:val="auto"/>
              </w:rPr>
            </w:pPr>
          </w:p>
        </w:tc>
        <w:tc>
          <w:tcPr>
            <w:tcW w:w="112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EAF9E8"/>
          </w:tcPr>
          <w:p>
            <w:pPr>
              <w:spacing w:after="0"/>
              <w:rPr>
                <w:sz w:val="20"/>
                <w:szCs w:val="20"/>
                <w:color w:val="auto"/>
              </w:rPr>
            </w:pPr>
          </w:p>
        </w:tc>
        <w:tc>
          <w:tcPr>
            <w:tcW w:w="340" w:type="dxa"/>
            <w:vAlign w:val="bottom"/>
            <w:vMerge w:val="continue"/>
            <w:shd w:val="clear" w:color="auto" w:fill="EAF9E8"/>
          </w:tcPr>
          <w:p>
            <w:pPr>
              <w:spacing w:after="0"/>
              <w:rPr>
                <w:sz w:val="20"/>
                <w:szCs w:val="20"/>
                <w:color w:val="auto"/>
              </w:rPr>
            </w:pPr>
          </w:p>
        </w:tc>
        <w:tc>
          <w:tcPr>
            <w:tcW w:w="1160" w:type="dxa"/>
            <w:vAlign w:val="bottom"/>
            <w:vMerge w:val="continue"/>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40" w:type="dxa"/>
            <w:vAlign w:val="bottom"/>
            <w:vMerge w:val="continue"/>
            <w:shd w:val="clear" w:color="auto" w:fill="EAF9E8"/>
          </w:tcPr>
          <w:p>
            <w:pPr>
              <w:spacing w:after="0"/>
              <w:rPr>
                <w:sz w:val="20"/>
                <w:szCs w:val="20"/>
                <w:color w:val="auto"/>
              </w:rPr>
            </w:pPr>
          </w:p>
        </w:tc>
        <w:tc>
          <w:tcPr>
            <w:tcW w:w="1160" w:type="dxa"/>
            <w:vAlign w:val="bottom"/>
            <w:vMerge w:val="continue"/>
            <w:shd w:val="clear" w:color="auto" w:fill="EAF9E8"/>
          </w:tcPr>
          <w:p>
            <w:pPr>
              <w:spacing w:after="0"/>
              <w:rPr>
                <w:sz w:val="20"/>
                <w:szCs w:val="20"/>
                <w:color w:val="auto"/>
              </w:rPr>
            </w:pP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88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 Completed</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8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b w:val="1"/>
                <w:bCs w:val="1"/>
                <w:color w:val="auto"/>
              </w:rPr>
              <w:t>Modifications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HAMP</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Non-HAMP</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8,788</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17,693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7"/>
        </w:trPr>
        <w:tc>
          <w:tcPr>
            <w:tcW w:w="288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19,729</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29,424</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36,333</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84"/>
        </w:trPr>
        <w:tc>
          <w:tcPr>
            <w:tcW w:w="2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738" w:right="2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Financing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balance of advances and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match funded advances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1,539,991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1,970,440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1,594,019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2,037,767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Average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1,145,567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1,485,302</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1,194,100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1,521,644</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Financing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544,467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655,263</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556,261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668,278</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2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405,985</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413,362</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18,133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36,307</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Financing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50,290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52,803</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103,262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120,578</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2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9,018</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18,283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Effective average interest rate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Financing liabilities (4)</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32.23</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36.09</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8.89</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8.85</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Facility costs included in interest</w:t>
            </w: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1,657</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8,890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17,566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5"/>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Discount amortization included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Average 1-month LIBOR</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 and other</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U. 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1,534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1,571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7"/>
        </w:trPr>
        <w:tc>
          <w:tcPr>
            <w:tcW w:w="2860" w:type="dxa"/>
            <w:vAlign w:val="bottom"/>
            <w:tcBorders>
              <w:bottom w:val="single" w:sz="8" w:color="EAF9E8"/>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8,085</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8,239</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84"/>
        </w:trPr>
        <w:tc>
          <w:tcPr>
            <w:tcW w:w="28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Collections on loans serviced for</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9,586,497</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10,406,084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18,867,034</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20,059,559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3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420" w:hanging="492"/>
        <w:spacing w:after="0" w:line="258"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ind w:left="500" w:right="220" w:hanging="492"/>
        <w:spacing w:after="0" w:line="246"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151,554 and 183,615 prime loans with a UPB of $27.3 billion and $34.9 billion at June 30, 2017 and June 30, 2016, respectively, that we service or subservice.</w:t>
      </w:r>
    </w:p>
    <w:p>
      <w:pPr>
        <w:ind w:left="500" w:right="60" w:hanging="492"/>
        <w:spacing w:after="0" w:line="246"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by Ocwen for which the Rights to MSRs have been sold to NRZ. Under our 2012 and 2013 agreements with NRZ, we remit servicing fees collected on the underlying MSRs, except for the ancillary fees (other than float earnings). The servicing fees that we remit, net of the subservicing and performance fees that we receive, are accounted for as a reduction of the NRZ financing liability and as interest expense. Changes in the fair value of the MSRs underlying the financing liability are also included in the amount reported as interest expense.</w:t>
      </w:r>
    </w:p>
    <w:p>
      <w:pPr>
        <w:spacing w:after="0" w:line="1" w:lineRule="exact"/>
        <w:rPr>
          <w:rFonts w:ascii="Times New Roman" w:cs="Times New Roman" w:eastAsia="Times New Roman" w:hAnsi="Times New Roman"/>
          <w:sz w:val="16"/>
          <w:szCs w:val="16"/>
          <w:color w:val="auto"/>
        </w:rPr>
      </w:pPr>
    </w:p>
    <w:p>
      <w:pPr>
        <w:ind w:left="500" w:right="140" w:hanging="492"/>
        <w:spacing w:after="0" w:line="249" w:lineRule="auto"/>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average interest rate on the financing liability that we recognized in connection with the sales of Rights to MSRs to NRZ is 43.25% and 40.33% for the three months ended June 30, 2017 and 2016, respectively, and 43.45% and 45.03% for the six months ended June 30, 2017 and 2016, respectively. Interest expense on financing liabilities for the three and six months ended June 30, 2016 included $4.3 million and $10.5 million, respectively, of fees incurred in connection with our agreement to compensate NRZ through June 2016 for certain increased costs associated with its servicing advance financing facilities that were the direct result of a downgrade of our S&amp;P servicer rating in 2015.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738" w:right="2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 of UPB</w:t>
            </w:r>
          </w:p>
        </w:tc>
        <w:tc>
          <w:tcPr>
            <w:tcW w:w="196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Count</w:t>
            </w:r>
          </w:p>
        </w:tc>
        <w:tc>
          <w:tcPr>
            <w:tcW w:w="10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209,092,130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250,966,112</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1,393,766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1,624,762</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1,531,715</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7,969</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(52,162)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(34,643)</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(6,745,819)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(7,853,998)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(8,636,329)</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(47,132)</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March 31</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202,369,014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237,081,036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1,353,956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1,550,967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1,152,541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2,079,670</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5,434</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9,843</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(179,110)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(484,530)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(458,189)</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(8,156,030)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(9,247,406)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(51,942)</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June 30</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194,798,424</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229,276,001</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1,310,110</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1,506,490</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key driver of our servicing segment operating results for the six months ended June 30, 2017, as compared to 2016, was a 21% decline in total expenses, which more than offset the 12% decline in total revenue as a result of the portfolio runoff and declines in completed modifications. The decline in expenses was primarily driven by reductions in headcount and legal expenses and MSR valuation adjustments.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versus 2016</w:t>
      </w:r>
    </w:p>
    <w:p>
      <w:pPr>
        <w:spacing w:after="0" w:line="12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Servicing and subservicing fee revenue declined by $51.5 million, or 17%, as compared to the second quarter of 2016 driven by a 15% decline in the average UPB and a 13% decline in the average number of assets in our portfolio due to runoff.</w:t>
      </w:r>
    </w:p>
    <w:p>
      <w:pPr>
        <w:spacing w:after="0" w:line="5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Total completed modifications decreased 44% as compared to the second quarter of 2016. The portion of modifications completed under HAMP (including streamlined HAMP) as a percentage of total modifications decreased to 24% in the second quarter of 2017 as compared to 55% for the second quarter of 2016 as a result of the expiration of the HAMP program on December 31, 2016. Borrowers who had requested assistance or to whom an offer of assistance had been extended as of that date have until September 30, 2017 to finalize their modification. Revenue recognized in connection with loan modifications totaled $25.1 million and $56.3 million during the second quarter of 2017 and 2016, respectively, a decline of 55%.</w:t>
      </w:r>
    </w:p>
    <w:p>
      <w:pPr>
        <w:spacing w:after="0" w:line="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Expenses were $55.8 million, or 22%, lower as compared to the second quarter of 2016. A 20% reduction in average U.S.-based headcount and the migration of certain operations offshore, where we believe we realize cost efficiencies while maintaining operational effectiveness, enabled a reduction in Compensation and benefits expense of $8.3 million, or 17%.</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Servicing and origination expense, excluding the $10.0 million decrease in MSR fair value adjustments and impairment charges (valuation adjustments), declined $10.5 million, or 26% as compared to the second quarter of 2016 primarily due to a decrease in the provision for bad debts and lower Ginnie Mae claim losses. Ginnie Mae claim losses in the second quarter of 2016 included the accelerated recognition of expenses related to our participating in HUD’s ADPLS program, which were largely offset by a benefit in amortization expense as discussed below.</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MSR amortization and valuation adjustments decreased $5.7 million due to a decrease in impairment charges related to our government insured MSRs and the effects of portfolio runoff. Increasing interest rates typically result in decreased prepayment activity for MSRs, which generally increases the value of our MSRs as the underlying loans prepay slower. We recognized impairment charges of $3.2 million and $9.1 million on our government-insured MSRs during the second quarter of 2017 and 2016, respectively, reflecting that interest rates decreased in both quarters, but less significantly in the second quarter of 2017 as compared to the second quarter of 2016. A decline in MSR fair value losses in the second quarter of 2017 was offset by an increase in amortization expense that resulted from a benefit recognized in the second quarter of 2016 related to the sale of non-performing loans conveyed to HUD as part of the ADPLS program.</w:t>
      </w:r>
    </w:p>
    <w:p>
      <w:pPr>
        <w:spacing w:after="0" w:line="8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expense declined $21.0 million, or 58%, largely due to a $23.9 million decline in legal expenses that was principally the result of expenses incurred in 2016 defending ourselves in proceedings alleging violations of federal, state and local laws and regulations governing our servicing activities.</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Occupancy and equipment expense declined $2.9 million, or 20%, largely because of the effect of the decline in the average number of assets in our servicing portfolio and various cost improvement initiatives on various expenses, principally the cost of postage and other delivery services.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688" w:right="259" w:bottom="1440" w:gutter="0" w:footer="0" w:header="0"/>
        </w:sectPr>
      </w:pPr>
    </w:p>
    <w:bookmarkStart w:id="64" w:name="page65"/>
    <w:bookmarkEnd w:id="64"/>
    <w:p>
      <w:pPr>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communication expense declined by $1.9 million, or 14%. In addition, technology allocations, which are part of the costs charged through corporate overhead allocations, declined $3.4 million. Excluding technology allocations, costs charged through corporate overhead allocations (which are included in Other expense) increased $0.3 million.</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Interest expense declined by $17.3 million, or 21%, in the second quarter of 2017 compared to the second quarter of 2016 primarily due to the December 2016 transfer of the SSTL from Servicing to Corporate Items and Other when we entered into an amended and restated SSTL facility agreement and lower match funded liabilities and related commitment fees. The transfer of the SSTL reduced interest expense by $8.4 million, and interest on match funded liabilities decreased by $6.0 million. The decline in match funded liabilities was consistent with the decline in servicing advances on a servicing portfolio that is smaller but better performing. In addition, interest expense related to financing liabilities for the second quarter of 2016 included $4.3 million of the compensatory fees paid to NRZ as a result of an earlier downgrade of our S&amp;P servicer rating.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versus 2016</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Servicing and subservicing fee revenue declined $76.3 million, or 13%, as the average UPB and the average number of assets in our residential servicing and subservicing portfolio declined by 15% and 13%, respectively, due to portfolio runoff. Revenue recognized in connection with loan modifications declined to $64.3 million for the six months ended June 30, 2017 as compared to $98.3 million for the same period in 2016 consistent with the 19% decline in completed modifications.</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Expenses were $113.2 million, or 21%, lower for the six months ended June 30, 2017 as compared to the same period of 2016. The 21% reduction in average U.S. based headcount and the migration of certain operations offshore enabled a reduction in Compensation and benefits expense of $17.3 million, or 18%.</w:t>
      </w:r>
    </w:p>
    <w:p>
      <w:pPr>
        <w:spacing w:after="0" w:line="6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Servicing and origination expense, excluding the $41.5 million reduction in MSR valuation adjustments, decreased by $9.8 million, or 13% for the six months ended June 30, 2017 as compared to the same period of 2016. This decrease is primarily due to a lower provision for bad debts and a decline in Ginnie Mae claim losses.</w:t>
      </w:r>
    </w:p>
    <w:p>
      <w:pPr>
        <w:spacing w:after="0" w:line="6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MSR amortization and valuation adjustments decreased $37.2 million because of the effects of portfolio runoff and a decrease in impairment charges related to our government insured MSRs. Impairment charges were $4.7 million and $39.0 million for the six months ended June 30, 2017 and 2016, respectively, reflecting that interest rates decreased in both quarters, but far less significantly for the period in 2017 compared to 2016. A decline in MSR fair value losses in the first half of 2017 was offset by an increase in amortization expense that resulted from a benefit recognized in the second quarter of 2016 related to the sale of non-performing loans conveyed to HUD as part of the ADPLS program.</w:t>
      </w:r>
    </w:p>
    <w:p>
      <w:pPr>
        <w:spacing w:after="0" w:line="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expense declined $34.7 million, or 50%, largely due to a $34.3 million decline in legal expenses that was principally the result of expenses incurred in 2016 defending ourselves in proceedings alleging violations of federal, state and local laws and regulations governing our servicing activities, including the now-settled Fisher matter.</w:t>
      </w:r>
    </w:p>
    <w:p>
      <w:pPr>
        <w:spacing w:after="0" w:line="6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Occupancy and equipment expense declined $11.1 million, or 31%, largely because of the effect of the decline in the average number of assets in our servicing portfolio and various cost improvement initiatives on various expenses, principally the cost of postage and other delivery services.</w:t>
      </w:r>
    </w:p>
    <w:p>
      <w:pPr>
        <w:spacing w:after="0" w:line="5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Technology and communication expense declined by $5.1 million, or 18%. However, this decline was partly offset by an increase of $2.1 million in technology allocations. Excluding technology allocations, costs charged through corporate overhead allocations increased by $1.1 million.</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declined by $46.4 million, or 26%, primarily due to reductions in interest expense related to the NRZ financing liability, the December 2016 transfer of the SSTL from Servicing to Corporate Items and Other, and lower match funded liabilities and related commitment fees. The transfer of the SSTL reduced interest expense by $17.1 million, while interest on match funded liabilities decreased by $11.5 million. The decline in match funded liabilities was consistent with the decline in servicing advances on our smaller but better performing servicing portfolio.</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Interest expense related to the NRZ financing liability decreased by $17.6 million, in part because of the decline in the average UPB of the NRZ servicing portfolio due to runoff and because of an increase in the amount of performance fees paid to Ocwen. In addition, interest expense for the six months ended June 30, 2016 included $10.5 million of the compensatory fees paid to NRZ as a result of the earlier downgrade to our S&amp;P servicer rating.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w:t>
      </w:r>
    </w:p>
    <w:p>
      <w:pPr>
        <w:spacing w:after="0" w:line="121"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We are working to increase the scale and breadth of our Lending business. Consistent with our long-term strategy, we are focused on increasing conversion rates (i.e., recapture) on our existing servicing portfolio and expanding our geographic footprint through growing our wholesale origination businesses. Building the sales and operations capacity to meet this need is a goal for the business, as well as investment in the development of our Loan Operating System (LOS) and the continued use of process improvements to drive productivity.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688" w:right="239" w:bottom="1440" w:gutter="0" w:footer="0" w:header="0"/>
        </w:sectPr>
      </w:pPr>
    </w:p>
    <w:bookmarkStart w:id="65" w:name="page66"/>
    <w:bookmarkEnd w:id="65"/>
    <w:p>
      <w:pPr>
        <w:ind w:firstLine="324"/>
        <w:spacing w:after="0" w:line="254" w:lineRule="auto"/>
        <w:rPr>
          <w:sz w:val="20"/>
          <w:szCs w:val="20"/>
          <w:color w:val="auto"/>
        </w:rPr>
      </w:pPr>
      <w:r>
        <w:rPr>
          <w:rFonts w:ascii="Times New Roman" w:cs="Times New Roman" w:eastAsia="Times New Roman" w:hAnsi="Times New Roman"/>
          <w:sz w:val="18"/>
          <w:szCs w:val="18"/>
          <w:color w:val="auto"/>
        </w:rPr>
        <w:t>We originate and purchase conventional and government-insured forward mortgage loans through our forward lending operations. Reverse mortgages are originated and purchased through our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$1.3 billion at June 30, 2017.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Value draws. We recognize this Future Value over time as future draws are securitized or sold. At June 30, 2017, unrecognized Future Value is estimated to be $66.7 million. We use a third-party valuation expert to determine Future Value based on the net present value of the estimated future cash flows of the loans, utilizing a discount rate of 12% and projected performance assumptions in line with historical experience and industry benchmarks.</w:t>
      </w:r>
    </w:p>
    <w:p>
      <w:pPr>
        <w:spacing w:after="0" w:line="18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Loans are acquired through three primary channels: correspondent lender relationships, broker relationships (wholesale) and directly with mortgage customers (retail). Per-loan margins vary by channel, with correspondent typically being the lowest margin and retail the highest margin. We have exited the correspondent channel in our forward lending business and are focusing on the retail and wholesale channels.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After origination, we package and sell the loans in the secondary mortgage market, through GSE securitizations on a servicing retained basis and through whole loan transactions on a servicing released basis.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76"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80" w:right="239" w:bottom="1440" w:gutter="0" w:footer="0" w:header="0"/>
        </w:sectPr>
      </w:pPr>
    </w:p>
    <w:bookmarkStart w:id="66" w:name="page67"/>
    <w:bookmarkEnd w:id="66"/>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of the Lending segment.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Forward loans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9,261</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9,606</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22,666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Reverse loans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11,472</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23,691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21,078</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46,349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37,581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21,079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32,776</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35,376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63,522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58,660</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18,394</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35,078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4,578</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7,220</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2,109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32,886</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31,181</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62,217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55,558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91"/>
        </w:trPr>
        <w:tc>
          <w:tcPr>
            <w:tcW w:w="3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4,204</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7,815</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1,329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20" w:type="dxa"/>
            <w:vAlign w:val="bottom"/>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5,010</w:t>
            </w:r>
          </w:p>
        </w:tc>
        <w:tc>
          <w:tcPr>
            <w:tcW w:w="116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4,431</w:t>
            </w: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34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7" w:name="page68"/>
    <w:bookmarkEnd w:id="67"/>
    <w:p>
      <w:pPr>
        <w:ind w:left="340"/>
        <w:spacing w:after="0"/>
        <w:rPr>
          <w:sz w:val="20"/>
          <w:szCs w:val="20"/>
          <w:color w:val="auto"/>
        </w:rPr>
      </w:pPr>
      <w:r>
        <w:rPr>
          <w:rFonts w:ascii="Times New Roman" w:cs="Times New Roman" w:eastAsia="Times New Roman" w:hAnsi="Times New Roman"/>
          <w:sz w:val="18"/>
          <w:szCs w:val="18"/>
          <w:color w:val="auto"/>
        </w:rPr>
        <w:t>The following table provides selected operating statistics: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Loan Production by Channel</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Forward loans</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Correspondent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159,560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539,618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456,804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892,091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355,560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479,299</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717,449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835,179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184,376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94,024</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365,776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173,803</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699,496</w:t>
            </w:r>
          </w:p>
        </w:tc>
        <w:tc>
          <w:tcPr>
            <w:tcW w:w="420" w:type="dxa"/>
            <w:vAlign w:val="bottom"/>
            <w:gridSpan w:val="2"/>
            <w:shd w:val="clear" w:color="auto" w:fill="EAF9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1,112,941</w:t>
            </w:r>
          </w:p>
        </w:tc>
        <w:tc>
          <w:tcPr>
            <w:tcW w:w="112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1,540,029</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1,901,073</w:t>
            </w: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24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 HARP production</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Purchase production</w:t>
            </w:r>
          </w:p>
        </w:tc>
        <w:tc>
          <w:tcPr>
            <w:tcW w:w="3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 Refinance production</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Reverse loans</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Correspondent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145,691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93,918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309,239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185,702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86,400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73,147</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165,953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140,848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43,357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39,888</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71,559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275,448</w:t>
            </w:r>
          </w:p>
        </w:tc>
        <w:tc>
          <w:tcPr>
            <w:tcW w:w="420" w:type="dxa"/>
            <w:vAlign w:val="bottom"/>
            <w:gridSpan w:val="2"/>
            <w:shd w:val="clear" w:color="auto" w:fill="EAF9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206,953</w:t>
            </w:r>
          </w:p>
        </w:tc>
        <w:tc>
          <w:tcPr>
            <w:tcW w:w="112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548,524</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398,109</w:t>
            </w: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324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key drivers of the results of our lending segment for the six months ended June 30, 2017 and the second quarter, as compared to 2016, were significant increases in reverse loan originations that were more than offset by substantial declines in forward loan originations principally as a result of a strategic decision to focus on the wholesale and retail channels that are expected to produce stronger economic returns. Gains on loans held for sale increased principally because of increased origination volume and higher margins in reverse lending. The declines in other revenues are principally the result of changes in fair value of reverse loans and the related financing liabilities. Average headcount increased more than 30% for both the year to date and the second quarter as we expanded our reverse originations, developed of our LOS and brought certain functions in house. A headcount reduction has been undertaken in forward lending to align capacity with volume levels.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versus 2016</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Total revenue declined by $2.6 million or 7% in second quarter of 2017 as total loan production declined by $345.0 million, or 26%. Other revenue decreased $5.2 million, or 36%, in the second quarter of 2017 primarily as a result of a $4.8 million decrease in the excess of changes in the fair value of our HECM loans held for investment over changes in the fair value of the HMBS financing liability. The $2.6 million, or 12% increase in Gains on loans held for sale, net is due to higher origination volume in our reverse lending business. Gains in the forward lending business decreased slightly due to lower volume and margin rates in the correspondent and wholesale channels, which was substantially offset by higher volume and higher margin rates in the retail channel.</w:t>
      </w:r>
    </w:p>
    <w:p>
      <w:pPr>
        <w:spacing w:after="0" w:line="76"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Total expenses increased $1.7 million, or 5%, in the second quarter of 2017. Compensation and benefits expense increased $1.6 million, or 9%, as average headcount increased by 31% over the second quarter of 2016. Offshore hiring accounted for 64% of the increase in average headcount. Direct acquisition costs, a component of Gain on loans held for sale, net, are offset by origination fee income that is included in Other revenue.</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Interest income, which consists primarily of interest earned on newly originated and purchased loans prior to sale to investors, has declined consistent with lower origination volume in our forward lending business. Interest income is offset by interest expense incurred to finance the mortgage loans. We finance originated and purchased forward and reverse mortgage loans with repurchase and participation agreements, commonly referred to as warehouse 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versus 2016</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Total revenue increased by $4.9 million or 8% in spite of the $210.6 million, or 9%, decline in total loan production. Gains on loans held for sale, net increased $8.8 million, or 23%, largely attributed to higher origination volume and improved margin rates in our reverse lending business. This improvement in reverse lending was partially offset by a decline in the forward channel gains due to lower margin rates in all channels and lower volume in the correspondent and wholesale channels, which was partially offset by an increase in retail volume. Other revenue decreased $3.9 million, or 19%, primarily as a result of 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688" w:right="239" w:bottom="1440" w:gutter="0" w:footer="0" w:header="0"/>
        </w:sectPr>
      </w:pPr>
    </w:p>
    <w:bookmarkStart w:id="68" w:name="page69"/>
    <w:bookmarkEnd w:id="68"/>
    <w:p>
      <w:pPr>
        <w:ind w:right="80"/>
        <w:spacing w:after="0" w:line="282" w:lineRule="auto"/>
        <w:rPr>
          <w:sz w:val="20"/>
          <w:szCs w:val="20"/>
          <w:color w:val="auto"/>
        </w:rPr>
      </w:pPr>
      <w:r>
        <w:rPr>
          <w:rFonts w:ascii="Times New Roman" w:cs="Times New Roman" w:eastAsia="Times New Roman" w:hAnsi="Times New Roman"/>
          <w:sz w:val="18"/>
          <w:szCs w:val="18"/>
          <w:color w:val="auto"/>
        </w:rPr>
        <w:t>$3.1 million decrease in the excess of changes in the fair value of our HECM loans held for investment over changes in the fair value of the HMBS financing liability.</w:t>
      </w:r>
    </w:p>
    <w:p>
      <w:pPr>
        <w:spacing w:after="0" w:line="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Total expenses increased $6.7 million, or 12%. Compensation and benefits expense increased $3.9 million, or 11%, as average headcount increased by 32% as compared to the prior year. The $1.7 million, or 23%, increase in Other expenses was driven primarily by a $3.1 million increase in the provision for indemnification obligations due to a reversal of the liability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Items and Other</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Corporate Items and Other includes revenues and expenses of ACS, CRL and our other business activities that are currently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w:t>
      </w:r>
    </w:p>
    <w:p>
      <w:pPr>
        <w:spacing w:after="0" w:line="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ACS provides short-term inventory-secured loans to independent used car dealers to finance their inventory. In addition, Ocwen formed CRL, our wholly-owned captive reinsurance subsidiary, and entered into a quota share re-insurance agreement effective in 2016 with a third-party insurer related to coverage on foreclosed real estate properties owned or serviced by us. As noted in “Overview” above, we are considering the potential benefits of monetizing our investment in the ACS business in the near term.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portion of interest income is allocated to the Servicing and Lending segments, including interest earned on cash balances and short-term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incurred by corporate support services are also allocated to the Servicing and Lending segments.</w:t>
      </w:r>
    </w:p>
    <w:p>
      <w:pPr>
        <w:spacing w:after="0" w:line="9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of Corporate Items and Other.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June 30,</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6,740</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12,558</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12,604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318"/>
        </w:trPr>
        <w:tc>
          <w:tcPr>
            <w:tcW w:w="3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31,495</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60,933</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6,504</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6,580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84,834</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122,082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18,510</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26,443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28,600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3,842</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6,914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7,668</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17,257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11,333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5"/>
        </w:trPr>
        <w:tc>
          <w:tcPr>
            <w:tcW w:w="342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Total expenses before corporate overhead</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allocations</w:t>
            </w: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152,853</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186,839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236,442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segment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(56,011)</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Lending segment</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45,666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96,086</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75,804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126,047</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1,676</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(84,948)</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key driver of the results of our corporate items and other segment for both the three and six months ended June 30, 2017, as compared to 2016, were declines in total expenses before allocations, principally because of decreases in regulatory monitoring costs and in legal fees and settlements expense. Offsetting these items was an increase in interest expense as a result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688" w:right="239" w:bottom="1440" w:gutter="0" w:footer="0" w:header="0"/>
        </w:sectPr>
      </w:pPr>
    </w:p>
    <w:bookmarkStart w:id="69" w:name="page70"/>
    <w:bookmarkEnd w:id="69"/>
    <w:p>
      <w:pPr>
        <w:ind w:right="60"/>
        <w:spacing w:after="0" w:line="266" w:lineRule="auto"/>
        <w:rPr>
          <w:sz w:val="20"/>
          <w:szCs w:val="20"/>
          <w:color w:val="auto"/>
        </w:rPr>
      </w:pPr>
      <w:r>
        <w:rPr>
          <w:rFonts w:ascii="Times New Roman" w:cs="Times New Roman" w:eastAsia="Times New Roman" w:hAnsi="Times New Roman"/>
          <w:sz w:val="18"/>
          <w:szCs w:val="18"/>
          <w:color w:val="auto"/>
        </w:rPr>
        <w:t>of the transfer of the SSTL from the servicing segment at the beginning of 2017 after we entered into an amended and restated SSTL facility agreement in December 2016. We also exchanged $346.9 million of 6.625% Senior Unsecured Notes due 2019 for a like amount of 8.375% Senior Second Lien Notes due 2022, which also occurred in December 2016.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versus 2016</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Revenue for the second quarter of 2017 includes $6.0 million of premiums generated by CRL, as compared to the second quarter of 2016, which includes the initial recognition of $12.2 million of premiums that were retroactive to the beginning of 2016 under the reinsurance agreement we entered into in the second quarter of 2016.</w:t>
      </w:r>
    </w:p>
    <w:p>
      <w:pPr>
        <w:spacing w:after="0" w:line="6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$53.9 million, or 35%, decrease in expenses before allocations is primarily due to a $35.1 million, or 41%, decline in Professional services expense, which resulted from a $27.7 million decrease in regulatory monitoring costs and a $4.8 million decrease in legal fees and settlements. The decrease in regulatory monitoring costs reflects the termination of the CA Auditor and NY Operations Monitor engagements. Legal expenses for the second quarter of 2017 includes a $48.0 million increase in our accrual for the Securities Class Action matter, while the second quarter of 2016 included $30.0 million in connection with the settlement of the Fisher Cases and $15.0 million recorded in connection with our discussions with the CA DBO that resulted in the termination of the 2015 CA Consent Order. Offsetting legal settlement expenses recognized in the second quarter of 2017 are $35.8 million of anticipated recoveries, including a $21.8 million recovery of prior settlement expenses and a $14.0 million insurance recovery against our aggregate exposure in the Securities Class Action matter.</w:t>
      </w:r>
    </w:p>
    <w:p>
      <w:pPr>
        <w:spacing w:after="0" w:line="7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Technology and communications expense declined $6.4 million, or 34%, primarily due to the recognition of certain software development expenses in the second quarter of 2016. The $5.2 million, or 80%, in Servicing and origination expense occurred principally because the second quarter of 2017 includes $1.3 million of reinsurance commissions, versus the second quarter of 2016, which includes the initial recognition of $5.4 million of reinsurance commissions retroactive to the beginning of 2016 in connection with the reinsurance agreement we entered into in the second quarter of 2016.</w:t>
      </w:r>
    </w:p>
    <w:p>
      <w:pPr>
        <w:spacing w:after="0" w:line="72"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 the second quarter of 2017 increased by $7.7 million, or 125%, primarily as a result of our transfer of the SSTL from the servicing segment to the corporate items and other segment when we entered into an amended and restated SSTL facility agreement in December 2016. In December 2016, we also exchanged $346.9 million of 6.625% Senior Unsecured Notes due 2019 for a like amount of 8.375% Senior Second Lien Notes due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versus 2016</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$49.6 million, or 21%, decrease in expenses before allocations is primarily due to a $50.8 million, or 42%, decline in Professional services expense, which resulted from a $53.3 million decrease in regulatory monitoring costs partly offset by a $3.8 million increase in legal fees and settlements. The regulatory monitoring costs decrease reflects the conclusion of the NY DFS and CA DBO engagements. Legal fees and settlements expense for the six months ended June 30, 2017 includes the $56.0 million reserve for the Securities Class Action matter, while the six months ended June 30, 2016 included the $30.0 million recorded in connection with the settlement of the Fisher Cases and the $15.0 million charge in connection with our discussions with the CA DBO that resulted in the termination of the 2015 CA Consent Order. We recorded $35.8 million of anticipated recoveries related to litigation settlements in the second quarter of 2017 as an offset to legal expenses.</w:t>
      </w:r>
    </w:p>
    <w:p>
      <w:pPr>
        <w:spacing w:after="0" w:line="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Additionally, Servicing and origination expense declined by $3.8 million, or 58%, primarily due to a decrease in reinsurance commissions incurred by CRL. Other expense for the six months ended June 30, 2017 increased by $5.9 million, or 52%, due to a $5.1 million increase in the provision for losses on ACS automotive dealer financing notes principally as a result of the deterioration in credit quality of notes due from certain dealers. Due to the increase in the age of these notes, as of March 31, 2017 we have assumed that the notes due from these dealers are fully collateral-dependent, with no recoveries beyond estimated liquidation value of the remaining unsold inventory.</w:t>
      </w:r>
    </w:p>
    <w:p>
      <w:pPr>
        <w:spacing w:after="0" w:line="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by $15.0 million, or 122%, primarily as a result of our transfer of the SSTL from the servicing segment to the corporate items and other segment and the exchange of our Senior Unsecured Notes for our Senior Secured Notes, both of which occurred in December 2016 as disclosed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At June 30, 2017, our cash position was $251.5 million compared to $256.5 million at December 31, 2016. We invest cash that is in excess of our immediate operating needs primarily in money market deposit accounts. Our priorities for deployment of excess cash are: (1) supporting our core servicing and lending businesses and investing in these core assets, (2) reducing revolving lines of credit in order to reduce interest expense, (3) reducing corporate leverage and (4) expanding into similar or complementary businesses that meet our return on capital requirements.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688"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servicing fees and ancillary revenues;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match funded advance financing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other borrowings, including warehouse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sales of originated loans and repurchased loans.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expect to receive substantial amounts from NRZ as MSRs transfer to NRZ under our July 2017 agreements with NRZ.</w:t>
      </w:r>
    </w:p>
    <w:p>
      <w:pPr>
        <w:spacing w:after="0" w:line="1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Servicing advances are an important component of our business and represent amounts that we, as servicer, are required to advance to, or on behalf of, our servicing clients if we do not receive such amounts from borrowers. Our ability to finance servicing advances is a significant factor that affects our liquidity. Our use of advance financing facilities is integral to our servicing advance financing strategy. Revolving variable funding notes issued by our advance financing facilities to large global financial institutions generally have a 364-day revolving period. Term notes are generally issued to institutional investors with one-, two- or three-year maturities. The revolving periods for our variable funding notes with a total borrowing capacity of $285.0 million and term notes of $400.0 million end in 2017.</w:t>
      </w:r>
    </w:p>
    <w:p>
      <w:pPr>
        <w:spacing w:after="0" w:line="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in connection with the Rights to MSRs, we make certain representations, warranties and covenants primarily related to the nature of the transferred advance receivables, our financial condition and our servicing practices.</w:t>
      </w:r>
    </w:p>
    <w:p>
      <w:pPr>
        <w:spacing w:after="0" w:line="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Advances and match funded advances comprised 19% of total assets at June 30, 2017. Our borrowings under our advance financing facilities are secured by pledges of servicing advances that are sold to the related SPE and by cash held in debt service accounts.</w:t>
      </w:r>
    </w:p>
    <w:p>
      <w:pPr>
        <w:spacing w:after="0" w:line="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available borrowing capacity under our advance financing facilities since December 31, 2016 has decreased by $63.8 million from $274.0 million at December 31, 2016 to $210.2 million at June 30, 2017 because we reduced the maximum borrowing capacity by $260.0 million based on our anticipated future usage. Our ability to continue to pledge collateral under our advance financing facilities depends on the performance of the advances, among other factors. At June 30, 2017, none of the available borrowing capacity could be used based on the amount of eligible collateral that had been pledged.</w:t>
      </w:r>
    </w:p>
    <w:p>
      <w:pPr>
        <w:spacing w:after="0" w:line="7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use mortgage loan warehouse facilities to fund newly originated loans on a short-term basis until they are sold to secondary market investors, including GSEs or other third-party investors. These warehouse facilities are structured as repurchase or participation agreements under which ownership of the loans is temporarily transferred to the lender. The loans are transferred at a discount, or haircut, which serves as the primary credit enhancement for the lender. Currently, all of our master repurchase and participation agreements have maximum terms of 364-days. The funds are typically repaid using the proceeds from the sale of the loans to the secondary market investors, usually within 30 days. At June 30, 2017, we had total borrowing capacity under our warehouse facilities of $725.0 million. Of the borrowing capacity extended on a committed basis, $113.9 million was available at June 30, 2017, and none of the available borrowing capacity could be used based on the amount of eligible collateral that had been pledged. Uncommitted amounts ($283.9 million available at June 30, 2017) are advanced solely at the discretion of the lender, and there can be no assurance that any uncommitted amounts will be available to us at any particular time.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684" w:right="299" w:bottom="1440" w:gutter="0" w:footer="0" w:header="0"/>
        </w:sectPr>
      </w:pPr>
    </w:p>
    <w:bookmarkStart w:id="71" w:name="page72"/>
    <w:bookmarkEnd w:id="71"/>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w:t>
      </w:r>
    </w:p>
    <w:p>
      <w:pPr>
        <w:spacing w:after="0" w:line="7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continue to assess the impact of the recent regulatory actions taken against us by the CFPB, thirty state mortgage and banking regulatory agencies and two state attorneys general, including with respect to the potential of these actions to impact adversely our liquidity and capital resources. We have revised our operations, where necessary, so as to comply with the orders while we attempt to negotiate resolutions. While we do not currently believe the limitations resulting from these regulatory actions on our loan origination or servicing activities will have a material impact on our financial results if we can resolve these agencies’ concerns on a timely basis, we do expect legal expenses to increase. If we are unable to obtain timely resolutions, more serious consequences could result, which could result in material and adverse impacts on our strategy, liquidity and capital resources, including those outlined in Item 1A, Risk Factors in our Quarterly Report on Form 10-Q for the quarterly period ended March 31, 2017.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advances in excess of collections on existing servicing portfolios;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and operating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originated and repurchased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borrowings, including match funded liabilities and warehouse facilities;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other general corporate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closely monitor our liquidity position and ongoing funding requirements, and we regularly monitor and project cash flow by period to mitigate liquidity risk.</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financial projections for revenues, costs and net income;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maturing liabilities compared to amounts generated from maturing assets and operating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future sales of MSRs and the reimbursement of related servicing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advances and match funded advances compared to the change in match funded liabilities and available borrowing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originations and purchases of forward and reverse mortgage loans and automobile dealer floor plan loans;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funding requirements of new business initiatives.</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considered the impact of financial projections on our liquidity analysis and have evaluated the appropriateness of the key assumptions in our forecast such as revenues, expenses, our assessment of the likely impact of recent regulatory actions, recurring and nonrecurring costs and sales of MSRs and other assets. We have analyzed our cash requirements and financial obligations. Based upon these evaluations and analyses, we believe that we have sufficient liquidity to meet our obligations and fund our operations for the next twelve months.</w:t>
      </w:r>
    </w:p>
    <w:p>
      <w:pPr>
        <w:spacing w:after="0" w:line="7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maintain certain minimum levels of cash under our debt agreements and in the ordinary course, portions of our cash balances are held in our non-U.S. subsidiaries. This means that we would have to repatriate that cash, potentially with tax consequences and in compliance with applicable laws, should we wish to utilize that cash in the U.S.</w:t>
      </w:r>
    </w:p>
    <w:p>
      <w:pPr>
        <w:spacing w:after="0" w:line="6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revolving periods of our advance financing facilities end during 2017 for variable funding notes with a total borrowing capacity of $285.0 million and $124.3 million of outstanding borrowings at June 30, 2017. In the event we are unable to renew, replace or extend the revolving period of one or more of these advance financing facilities, monthly amortization of the outstanding balance must generally begin at the end of the respective 364-day revolving period. In addition, we would be required to begin amortizing our two-year term notes with a borrowing capacity of $400.0 million if we do not renew, replace or extend these notes during 2017.</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688" w:right="239" w:bottom="1440" w:gutter="0" w:footer="0" w:header="0"/>
        </w:sectPr>
      </w:pPr>
    </w:p>
    <w:bookmarkStart w:id="72" w:name="page73"/>
    <w:bookmarkEnd w:id="72"/>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Similarly, all of our master repurchase and participation agreements for financing new loan originations have 364-day terms. At June 30, 2017, we had $47.5 million outstanding under these financing arrangements that mature in 2017.</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we will be able to renew, replace or extend our debt agreements before or as they become due, consistent with our historical experience.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remain actively engaged with our lenders, and recent financing developments so far in 2017 include the following:</w:t>
      </w:r>
    </w:p>
    <w:p>
      <w:pPr>
        <w:spacing w:after="0" w:line="117" w:lineRule="exact"/>
        <w:rPr>
          <w:sz w:val="20"/>
          <w:szCs w:val="20"/>
          <w:color w:val="auto"/>
        </w:rPr>
      </w:pPr>
    </w:p>
    <w:p>
      <w:pPr>
        <w:ind w:left="660" w:right="40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2017, we executed a $200.0 million warehouse facility to replace an existing facility of the same size and with the same lender maturing in February 2018.</w:t>
      </w:r>
    </w:p>
    <w:p>
      <w:pPr>
        <w:ind w:left="660" w:right="18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2017 and on March 17, 2017, we executed two match funded lending agreements under which we can borrow up to $50.0 million each to finance the automotive dealer loans made by our ACS business. We may from time to time request increases in the maximum borrowing capacity under these agreements to a maximum of $100.0 million each.</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2017, we extended to April 30, 2018 the maturity of two warehouse facilities with a combined uncommitted borrowing capacity of $250.0 million.</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18, 2017, we negotiated a reduction in the borrowing capacity of two warehouse facilities from a combined $110.0 million to $75.0 million.</w:t>
      </w:r>
    </w:p>
    <w:p>
      <w:pPr>
        <w:spacing w:after="0" w:line="9" w:lineRule="exact"/>
        <w:rPr>
          <w:rFonts w:ascii="Times New Roman" w:cs="Times New Roman" w:eastAsia="Times New Roman" w:hAnsi="Times New Roman"/>
          <w:sz w:val="18"/>
          <w:szCs w:val="18"/>
          <w:color w:val="auto"/>
        </w:rPr>
      </w:pPr>
    </w:p>
    <w:p>
      <w:pPr>
        <w:jc w:val="both"/>
        <w:ind w:left="660" w:right="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2017, we negotiated a change in the borrowing capacity of two warehouse facilities from $200.0 million available on a committed basis to $100.0 million available on a committed basis and the remainder of the borrowing capacity available at the discretion of the lender. On August 1, 2017, we voluntarily terminated these facilities.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2017, we negotiated a renewal through June 7, 2018 of an advance financing facility. As part of the renewal, we decreased the maximum borrowing capacity of the facility from $160.0 million to $110.0 million.</w:t>
      </w:r>
    </w:p>
    <w:p>
      <w:pPr>
        <w:ind w:left="660" w:right="4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30, 2017, we negotiated a reduction in the combined borrowing capacity under the variable rate notes of an advance financing facility from $420.0 million to $210.0 million.</w:t>
      </w:r>
    </w:p>
    <w:p>
      <w:pPr>
        <w:spacing w:after="0" w:line="7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2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Long-term Corporate Rating</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Review Status / Outlook</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Caa1</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Review for Downgrade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Jun. 16, 2017</w:t>
            </w: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S&amp;P</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 –</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Negative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 25, 2017</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Fitch</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B –</w:t>
            </w:r>
          </w:p>
        </w:tc>
        <w:tc>
          <w:tcPr>
            <w:tcW w:w="25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Rating Watch Negative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Apr. 24, 2017</w:t>
            </w: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Kroll Bond Rating Agency</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CCC</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Negative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 26, 2017</w:t>
            </w:r>
          </w:p>
        </w:tc>
      </w:tr>
    </w:tbl>
    <w:p>
      <w:pPr>
        <w:spacing w:after="0" w:line="11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July 25, 2017, S&amp;P affirmed our long-term corporate rating of “B-” and removed our ratings from CreditWatch with Negative implications. On July 26, 2017, Kroll Bond Rating Agency affirmed our corporate ratings at “CCC” and removed our ratings from Watch Downgrade status. On June 16, 2017, Moody’s downgraded our long-term corporate rating to “Caa1” from “B3.” On April 24, 2017, Fitch placed our ratings on Rating Watch Negative. It is possible that additional actions by credit rating agencies could have a material adverse impact on our liquidity and funding position, including materially changing the terms on which we may be able to borrow money.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688" w:right="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2017</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$280.7 million of cash largely due to $226.7 million of net collections of servicing advances. Net cash paid on loans held for sale was $26.2 million for the three months ended June 30, 2017.</w:t>
      </w:r>
    </w:p>
    <w:p>
      <w:pPr>
        <w:spacing w:after="0" w:line="54"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investing activities used $516.2 million of cash. The primary uses of cash in our investing activities include net cash outflows in connection with our HECM reverse mortgages of $505.9 million, net cash outflows of $8.8 million in connection with our ACS business and additions to premises and equipment of $7.2 million. Cash inflows include the receipt of $5.2 million of net proceeds from the sale of MSRs and related advances.</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financing activities provided $230.3 million of cash. Cash inflows include $664.5 million received in connection with our reverse mortgage securitizations, which are accounted for as secured financings, less repayments on the related financing liability of $176.2 million. Cash outflows include $172.6 million of net repayments on match funded liabilities as a result of advance recoveries, and $8.4 million of repayments on the SSTL. In addition, we reduced borrowings under our mortgage warehouse facilities used to fund loan originations by $27.9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2016</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$172.2 million of cash largely due to $215.5 million of net collections of servicing advances. Net cash paid on loans held for sale during the six months ended June 30, 2016 was $93.7 million.</w:t>
      </w:r>
    </w:p>
    <w:p>
      <w:pPr>
        <w:spacing w:after="0" w:line="54"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investing activities used $376.6 million of cash. The primary uses of cash in our investing activities include net cash outflows in connection with our HECM reverse mortgages of $436.8 million and additions to premises and equipment of $17.3 million. Cash inflows for the six months ended June 30, 2016 include the receipt of $81.8 million of net proceeds from the sale of MSRs and related advances.</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provided $166.1 million of cash. Cash inflows include $523.0 million received in connection with our reverse mortgage securitizations, less repayment of the related financing liability of $98.9 million. Cash outflows are primarily comprised of $152.7 million of net repayments on match funded liabilities as a result of advance recoveries and $29.4 million of repayments on the SSTL. Cash outflows for the six months ended June 30, 2016 also include the repurchase of 991,985 shares of common stock under our share repurchase program for $5.9 million prior to its expiration on July 31, 2016.</w:t>
      </w:r>
    </w:p>
    <w:p>
      <w:pPr>
        <w:spacing w:after="0" w:line="72" w:lineRule="exact"/>
        <w:rPr>
          <w:sz w:val="20"/>
          <w:szCs w:val="20"/>
          <w:color w:val="auto"/>
        </w:rPr>
      </w:pPr>
    </w:p>
    <w:p>
      <w:pPr>
        <w:ind w:right="4660"/>
        <w:spacing w:after="0" w:line="378" w:lineRule="auto"/>
        <w:rPr>
          <w:sz w:val="20"/>
          <w:szCs w:val="20"/>
          <w:color w:val="auto"/>
        </w:rPr>
      </w:pPr>
      <w:r>
        <w:rPr>
          <w:rFonts w:ascii="Times New Roman" w:cs="Times New Roman" w:eastAsia="Times New Roman" w:hAnsi="Times New Roman"/>
          <w:sz w:val="18"/>
          <w:szCs w:val="18"/>
          <w:b w:val="1"/>
          <w:bCs w:val="1"/>
          <w:color w:val="auto"/>
        </w:rPr>
        <w:t>CONTRACTUAL OBLIGATIONS AND OFF BALANCE SHEET ARRANGEMENTS Contractual Obligations</w:t>
      </w: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analyzed our unfunded commitments and other contractual obligations and have evaluated the appropriateness of the key assumptions in forecasting our ability to satisfy these obligations. Based upon these evaluations and analyses, we believe that we have adequate resources to fund all unfunded commitments to the extent required and meet all contractual obligations as they come due. At June 30, 2017, such contractual obligations were primarily comprised of secured and unsecured borrowings, interest payments, operating leases and commitments to originate or purchase loans, including equity draws on reverse mortgages. During the six months ended June 30, 2017, we executed two new match funded lending agreements to finance automotive dealer loans made by our ACS business. We also executed renewals and reductions in borrowing capacity of certain mortgage loan warehouse and match funded advance financing facilities. There were no other significant changes to our contractual obligations during the six months ended June 30, 2017. See Note 11 – Borrowings to the Unaudited Consolidated Financial Statements for additional information.</w:t>
      </w:r>
    </w:p>
    <w:p>
      <w:pPr>
        <w:spacing w:after="0" w:line="7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79"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Mortgage Loan Repurchase and Indemnification Liabilities. </w:t>
      </w:r>
      <w:r>
        <w:rPr>
          <w:rFonts w:ascii="Times New Roman" w:cs="Times New Roman" w:eastAsia="Times New Roman" w:hAnsi="Times New Roman"/>
          <w:sz w:val="18"/>
          <w:szCs w:val="18"/>
          <w:color w:val="auto"/>
        </w:rPr>
        <w:t>We have exposure to representation, warranty and indemnification obligations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as a loan originator and servicer. We recognize the fair value of representation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684" w:right="259" w:bottom="1440" w:gutter="0" w:footer="0" w:header="0"/>
        </w:sectPr>
      </w:pPr>
    </w:p>
    <w:bookmarkStart w:id="74" w:name="page75"/>
    <w:bookmarkEnd w:id="74"/>
    <w:p>
      <w:pPr>
        <w:ind w:right="120"/>
        <w:spacing w:after="0" w:line="261" w:lineRule="auto"/>
        <w:rPr>
          <w:sz w:val="20"/>
          <w:szCs w:val="20"/>
          <w:color w:val="auto"/>
        </w:rPr>
      </w:pPr>
      <w:r>
        <w:rPr>
          <w:rFonts w:ascii="Times New Roman" w:cs="Times New Roman" w:eastAsia="Times New Roman" w:hAnsi="Times New Roman"/>
          <w:sz w:val="18"/>
          <w:szCs w:val="18"/>
          <w:color w:val="auto"/>
        </w:rPr>
        <w:t>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12 – Other Liabilities and Note 19 – Contingencies to the Unaudited Consolidated Financial Statements for additional information.</w:t>
      </w:r>
    </w:p>
    <w:p>
      <w:pPr>
        <w:spacing w:after="0" w:line="187"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Involvement with SPEs</w:t>
      </w:r>
      <w:r>
        <w:rPr>
          <w:rFonts w:ascii="Times New Roman" w:cs="Times New Roman" w:eastAsia="Times New Roman" w:hAnsi="Times New Roman"/>
          <w:sz w:val="18"/>
          <w:szCs w:val="18"/>
          <w:color w:val="auto"/>
        </w:rPr>
        <w:t>. We use SPEs for a variety of purposes but principally in the financing of our servicing advances and in the securitization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 loans. We consolidate the servicing advance financing SPEs.</w:t>
      </w:r>
    </w:p>
    <w:p>
      <w:pPr>
        <w:spacing w:after="0" w:line="5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78"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VIEs</w:t>
      </w:r>
      <w:r>
        <w:rPr>
          <w:rFonts w:ascii="Times New Roman" w:cs="Times New Roman" w:eastAsia="Times New Roman" w:hAnsi="Times New Roman"/>
          <w:sz w:val="18"/>
          <w:szCs w:val="18"/>
          <w:color w:val="auto"/>
        </w:rPr>
        <w:t>. If we determine that we are the primary beneficiary of a VIE, we include the VIE in our consolidated financial statements. We have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retained the obligation for servicing and for standard representations and warranties on the loans. See Note 2 – Securitizations and Variable Interest Entities to the Unaudited Consolidated Financial Statements for additional information.</w:t>
      </w:r>
    </w:p>
    <w:p>
      <w:pPr>
        <w:spacing w:after="0" w:line="72"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We record all derivatives at fair value on our consolidated balance sheets. We use these derivatives primarily to manage our interest rate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notional amounts of our derivative contracts do not reflect our exposure to credit loss. See Note 13 – Derivative Financial Instruments and Hedging Activities to the Unaudited Consolidated Financial Statements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ability to measure and report our financial position and operating results is influenced by the need to estimate the impact or outcome of future events on the basis of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Amendment No. 1 to our Annual Report on Form 10-K for the year ended December 31, 2016 in Note 1 to the Consolidated Financial Statements and in Management’s Discussion and Analysis of Financial Condition and Results of Operations under “Critical Accounting Policies and Estimates.”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use fair value measurements to record fair value adjustments to certain instruments and to determine fair value disclosures. Refer to Note 3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in order to prioritize the inputs utilized to measure fair value. We review and modify, as necessary, our fair value hierarchy classifications on a quarterly basis. As such, there may be reclassifications between hierarchy levels.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688" w:right="239" w:bottom="1440" w:gutter="0" w:footer="0" w:header="0"/>
        </w:sectPr>
      </w:pPr>
    </w:p>
    <w:bookmarkStart w:id="75" w:name="page76"/>
    <w:bookmarkEnd w:id="75"/>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assets and liabilities measured at fair value on a recurring and nonrecurring basis and the amounts measured using Level 3 inputs at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2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260,959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314,006</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investment - Reverse mortgages</w:t>
            </w:r>
          </w:p>
        </w:tc>
        <w:tc>
          <w:tcPr>
            <w:tcW w:w="2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4,223,776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3,565,716</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MSRs - recurring basis</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625,650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679,256</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 - nonrecurring basis, net (1)</w:t>
            </w:r>
          </w:p>
        </w:tc>
        <w:tc>
          <w:tcPr>
            <w:tcW w:w="2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144,783</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9,279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8,342</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U.S. Treasury notes</w:t>
            </w:r>
          </w:p>
        </w:tc>
        <w:tc>
          <w:tcPr>
            <w:tcW w:w="20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2,078</w:t>
            </w:r>
          </w:p>
        </w:tc>
      </w:tr>
      <w:tr>
        <w:trPr>
          <w:trHeight w:val="297"/>
        </w:trPr>
        <w:tc>
          <w:tcPr>
            <w:tcW w:w="820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Assets at fair value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5,266,013</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4,723,460</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total assets</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4,502,633</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3,911,488</w:t>
            </w:r>
          </w:p>
        </w:tc>
      </w:tr>
      <w:tr>
        <w:trPr>
          <w:trHeight w:val="27"/>
        </w:trPr>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1,550</w:t>
            </w:r>
          </w:p>
        </w:tc>
      </w:tr>
      <w:tr>
        <w:trPr>
          <w:trHeight w:val="297"/>
        </w:trPr>
        <w:tc>
          <w:tcPr>
            <w:tcW w:w="820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4,502,643</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3,913,038</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total liabilities</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820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color w:val="auto"/>
              </w:rPr>
              <w:t>Assets at fair value using Level 3 inputs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5,017,333</w:t>
            </w:r>
          </w:p>
        </w:tc>
        <w:tc>
          <w:tcPr>
            <w:tcW w:w="100" w:type="dxa"/>
            <w:vAlign w:val="bottom"/>
            <w:tcBorders>
              <w:bottom w:val="single" w:sz="8" w:color="EAF9E8"/>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4,429,307</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assets at fair value</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04"/>
        </w:trPr>
        <w:tc>
          <w:tcPr>
            <w:tcW w:w="820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color w:val="auto"/>
              </w:rPr>
              <w:t>Liabilities at fair value using Level 3 inputs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4,502,633</w:t>
            </w:r>
          </w:p>
        </w:tc>
        <w:tc>
          <w:tcPr>
            <w:tcW w:w="100" w:type="dxa"/>
            <w:vAlign w:val="bottom"/>
            <w:tcBorders>
              <w:bottom w:val="single" w:sz="8" w:color="EAF9E8"/>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3,911,488</w:t>
            </w:r>
          </w:p>
        </w:tc>
      </w:tr>
      <w:tr>
        <w:trPr>
          <w:trHeight w:val="230"/>
        </w:trPr>
        <w:tc>
          <w:tcPr>
            <w:tcW w:w="82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 a percentage of liabilities at fair value</w:t>
            </w:r>
          </w:p>
        </w:tc>
        <w:tc>
          <w:tcPr>
            <w:tcW w:w="200" w:type="dxa"/>
            <w:vAlign w:val="bottom"/>
            <w:shd w:val="clear" w:color="auto" w:fill="EAF9E8"/>
          </w:tcPr>
          <w:p>
            <w:pPr>
              <w:spacing w:after="0"/>
              <w:rPr>
                <w:sz w:val="20"/>
                <w:szCs w:val="20"/>
                <w:color w:val="auto"/>
              </w:rPr>
            </w:pPr>
          </w:p>
        </w:tc>
        <w:tc>
          <w:tcPr>
            <w:tcW w:w="13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2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3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right="120" w:hanging="492"/>
        <w:spacing w:after="0" w:line="281"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our impaired government-insured stratum of amortization method MSRs, which is measured at fair value on a nonrecurring basis. The carrying value of this stratum is net of a valuation allowance of $32.8 million and $28.2 million at June 30, 2017 and December 31, 2016, respectively.</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Assets at fair value using Level 3 inputs increased during the six months ended June 30, 2017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Amortization of MSRs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MSRs are assets that represent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We recognized $4.7 million of impairment charges on our government-insured MSRs during the six months ended June 30, 2017 (including $3.2 million during the second quarter), as the fair value for this stratum further relative to its carrying value. This additional impairment was primarily due to lower interest rates. The carrying value of this stratum at June 30, 2017 was $135.5 million, net of the valuation allowance of $32.8 million. We recognize MSR impairment charges in Servicing and origination expense in the consolidated statements of operations.</w:t>
      </w:r>
    </w:p>
    <w:p>
      <w:pPr>
        <w:spacing w:after="0" w:line="8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688" w:right="239" w:bottom="1440" w:gutter="0" w:footer="0" w:header="0"/>
        </w:sectPr>
      </w:pPr>
    </w:p>
    <w:bookmarkStart w:id="76" w:name="page77"/>
    <w:bookmarkEnd w:id="76"/>
    <w:p>
      <w:pPr>
        <w:ind w:right="1420"/>
        <w:spacing w:after="0" w:line="360" w:lineRule="auto"/>
        <w:rPr>
          <w:sz w:val="20"/>
          <w:szCs w:val="20"/>
          <w:color w:val="auto"/>
        </w:rPr>
      </w:pPr>
      <w:r>
        <w:rPr>
          <w:rFonts w:ascii="Times New Roman" w:cs="Times New Roman" w:eastAsia="Times New Roman" w:hAnsi="Times New Roman"/>
          <w:sz w:val="18"/>
          <w:szCs w:val="18"/>
          <w:color w:val="auto"/>
        </w:rPr>
        <w:t xml:space="preserve">The key assumptions used in the valuation of these MSRs include prepayment speeds, loan delinquency, cost to service and discount rates. </w:t>
      </w:r>
      <w:r>
        <w:rPr>
          <w:rFonts w:ascii="Times New Roman" w:cs="Times New Roman" w:eastAsia="Times New Roman" w:hAnsi="Times New Roman"/>
          <w:sz w:val="18"/>
          <w:szCs w:val="18"/>
          <w:b w:val="1"/>
          <w:bCs w:val="1"/>
          <w:color w:val="auto"/>
        </w:rPr>
        <w:t>Income Taxes</w:t>
      </w: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2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a result of these evaluations, as of December 31, 2016, we recognized a full valuation allowance for the $95.5 million of U.S. deferred tax assets and for the $36.2 million on our USVI deferred tax assets as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Obligations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74" w:lineRule="exact"/>
        <w:rPr>
          <w:sz w:val="20"/>
          <w:szCs w:val="20"/>
          <w:color w:val="auto"/>
        </w:rPr>
      </w:pPr>
    </w:p>
    <w:p>
      <w:pPr>
        <w:ind w:left="660" w:right="62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financial condition, including liquidity sources at the date that the financial statements are issued (e.g., available liquid funds and available access to credit, including covenant compliance);</w:t>
      </w:r>
    </w:p>
    <w:p>
      <w:pPr>
        <w:ind w:left="660" w:right="14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688" w:right="259" w:bottom="1440" w:gutter="0" w:footer="0" w:header="0"/>
        </w:sectPr>
      </w:pPr>
    </w:p>
    <w:bookmarkStart w:id="77" w:name="page78"/>
    <w:bookmarkEnd w:id="77"/>
    <w:p>
      <w:pPr>
        <w:ind w:left="660" w:right="22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6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will be implemented within the evaluation period; and</w:t>
      </w:r>
    </w:p>
    <w:p>
      <w:pPr>
        <w:spacing w:after="0" w:line="27"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adopted each recent Accounting Standards Update (ASU) listed below on January 1, 2017. Our adoption of these standards did not have a material impact on our Unaudited Consolidated Financial Statements.</w:t>
      </w:r>
    </w:p>
    <w:p>
      <w:pPr>
        <w:spacing w:after="0" w:line="5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Balance Sheet Classification of Deferred Taxes (ASU 2015-17)</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Hedging: Effect of Derivative Contract Novations on Existing Hedge Accounting Relationships (ASU 2016-05)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and Hedging: Contingent Put and Call Options in Debt Instruments (ASU 2016-06)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 Equity Method and Joint Ventures: Simplifying the Transition to the Equity Method of Accounting (ASU 2016-07)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 Stock Compensation: Improvements to Employee Shared-Based Payment Accounting (ASU 2016-09)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Interests Held through Related Parties That Are under Common Control (ASU 2016-17)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Corrections and Improvements (ASU 2016-19)</w:t>
      </w:r>
    </w:p>
    <w:p>
      <w:pPr>
        <w:spacing w:after="0" w:line="9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also evaluating the impact of recently issued ASUs not yet adopted that are not effective for us until on or after January 1, 2018. While we do not anticipate that our adoption of most of these ASUs will have a material impact on our consolidated financial statements, we are currently evaluating the effect of adopting certain ASUs.</w:t>
      </w:r>
    </w:p>
    <w:p>
      <w:pPr>
        <w:spacing w:after="0" w:line="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6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13 – Derivative Financial Instruments and Hedging Activities to the Unaudited Consolidated Financial Statements for additional information regarding our use of derivatives.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580" w:right="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IRLCs and Loans Held for Sale</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7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MSRs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elected to account for two classes of MSRs at fair value. The first is a class of acquired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accounted for at fair value was designated on January 1, 2015, when we elected fair value accounting for a newly created class of non-Agency MSRs that we previously accounted for using the amortization method.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Interest-earning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93,334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146,698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239,490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239,490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284,632</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29,374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4,223,776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4,223,776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3,565,716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3,565,716</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dealer financing notes (including match funded)</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2,078</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service accounts and interest-earning time deposits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49,276</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4,660,669</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4,660,329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4,110,998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4,110,921</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76"/>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1,108,377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1,103,202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1,280,997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1,275,059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HMBS-related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4,061,626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4,061,626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3,433,781</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secured borrowings (2)</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643,860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678,543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682,703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Senior notes (2)</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347,063</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335,084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346,789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355,303</w:t>
            </w:r>
          </w:p>
        </w:tc>
      </w:tr>
      <w:tr>
        <w:trPr>
          <w:trHeight w:val="250"/>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rate-sensitive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6,160,926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6,153,658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5,740,110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5,746,846</w:t>
            </w:r>
          </w:p>
        </w:tc>
      </w:tr>
      <w:tr>
        <w:trPr>
          <w:trHeight w:val="122"/>
        </w:trPr>
        <w:tc>
          <w:tcPr>
            <w:tcW w:w="5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500" w:type="dxa"/>
            <w:vAlign w:val="bottom"/>
          </w:tcPr>
          <w:p>
            <w:pPr>
              <w:spacing w:after="0"/>
              <w:rPr>
                <w:sz w:val="18"/>
                <w:szCs w:val="18"/>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Derivative Financial Instruments: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725,000</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36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955,000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IRLCs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245,578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Forward MBS trades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392,596</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609,177</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5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Derivatives, net</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7,729</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market valuation allowances and including non-performing loans.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 Loans Held for Sale and Related Derivatives</w:t>
      </w:r>
    </w:p>
    <w:p>
      <w:pPr>
        <w:spacing w:after="0" w:line="11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estimated change in the fair value of our MSRs and loans held for sale that we have elected to carry at fair value as well as any related derivatives at June 30, 2017, given hypothetical instantaneous parallel shifts in the yield curve. We used June 30, 2017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4,087</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Fair value MSRs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r>
      <w:tr>
        <w:trPr>
          <w:trHeight w:val="291"/>
        </w:trPr>
        <w:tc>
          <w:tcPr>
            <w:tcW w:w="834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120" w:hanging="492"/>
        <w:spacing w:after="0" w:line="255" w:lineRule="auto"/>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change in fair value reflects the impact of market rate changes on projected prepayments on the Agency MSR portfolio carried at fair value. Additionally, non-Agency MSRs carried at fair value can exhibit cash flow sensitivity for advance financing costs and / or float earnings indexed to a market rate. However, we believe the pricing levels on aged non-Agency MSRs should remain stable despite the recent rise in LIBOR rates, given the lack of market transactions supporting any pricing change, and the general industry approach to conservatively valuing such assets. As such, we have assumed zero sensitivity to a 25 bps change in market rates for the non-Agency MSR portfolio.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738" w:right="239"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19" w:lineRule="exact"/>
        <w:rPr>
          <w:sz w:val="20"/>
          <w:szCs w:val="20"/>
          <w:color w:val="auto"/>
        </w:rPr>
      </w:pPr>
    </w:p>
    <w:p>
      <w:pPr>
        <w:ind w:left="60" w:right="300" w:firstLine="324"/>
        <w:spacing w:after="0" w:line="282" w:lineRule="auto"/>
        <w:rPr>
          <w:sz w:val="20"/>
          <w:szCs w:val="20"/>
          <w:color w:val="auto"/>
        </w:rPr>
      </w:pPr>
      <w:r>
        <w:rPr>
          <w:rFonts w:ascii="Times New Roman" w:cs="Times New Roman" w:eastAsia="Times New Roman" w:hAnsi="Times New Roman"/>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June 30, 2017 balances, if interest rates were to increase by 1% on our variable rate debt and interest earning cash and float balances, we estimate a net positive impact of approximately $10.4 million resulting from an increase of $24.9 million in annual interest income and an increase of $14.4 million in annual interest expense. The increase in interest expense reflects the effect of our hedging activities, which would offset $5.0 million of the increase in interest on our variable rate debt.</w:t>
      </w:r>
    </w:p>
    <w:p>
      <w:pPr>
        <w:spacing w:after="0" w:line="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June 30, 2017.</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on such evaluation, and solely because of the previously disclosed material weakness in internal control over financial reporting (see our Annual Report on Form 10-K/A for the year ended December 31, 2016) related to ineffective controls regarding the review and disclosure of regulatory matters, management concluded that our internal control over financial reporting was not effective as of June 30, 2017. Our controls related to the review and disclosure of regulatory matters were not operating effectively to ensure such matters were adequately disclosed.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are improving the communication and evaluation of regulatory matters and related disclosures to and by Ocwen’s Disclosure Review Committee (DRC) by creating a working group comprised of representatives from accounting, financial reporting, legal and compliance who are charged with reviewing regulatory matters and disclosures. The DRC will also include a discussion of regulatory matters on its agenda. Management believes these changes will remediate the material weakness in internal control over financial reporting described above. We will test the ongoing operating effectiveness of the new controls in future periods. The material weakness cannot be considered remediated until the applicable remedial controls operate for a sufficient period of time.</w:t>
      </w:r>
    </w:p>
    <w:p>
      <w:pPr>
        <w:spacing w:after="0" w:line="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fiscal quarter ended June 30, 2017 that have materially affected, or are reasonably likely to materially affect, our internal control over financial reporting.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686" w:right="2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19 – Contingencies to the Unaudited Consolidated Financial Statements. That information is incorporated into this item by reference.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An investment in our common stock involves significant risk. We describe the most significant risks that management believes affect or could affect us under Part I of Amendment No. 1 to our Annual Report on Form 10-K for the year ended December 31, 2016, and we added additional risk factors in our Quarterly Report on Form 10-Q for the quarter ended March 31, 2017.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of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7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gridSpan w:val="2"/>
          </w:tcPr>
          <w:p>
            <w:pPr>
              <w:spacing w:after="0"/>
              <w:rPr>
                <w:sz w:val="17"/>
                <w:szCs w:val="17"/>
                <w:color w:val="auto"/>
              </w:rPr>
            </w:pPr>
          </w:p>
        </w:tc>
        <w:tc>
          <w:tcPr>
            <w:tcW w:w="240" w:type="dxa"/>
            <w:vAlign w:val="bottom"/>
          </w:tcPr>
          <w:p>
            <w:pPr>
              <w:jc w:val="right"/>
              <w:spacing w:after="0"/>
              <w:rPr>
                <w:rFonts w:ascii="Times New Roman" w:cs="Times New Roman" w:eastAsia="Times New Roman" w:hAnsi="Times New Roman"/>
                <w:sz w:val="18"/>
                <w:szCs w:val="18"/>
                <w:color w:val="0000EE"/>
                <w:w w:val="97"/>
              </w:rPr>
            </w:pPr>
            <w:hyperlink w:anchor="page8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20" w:type="dxa"/>
            <w:vAlign w:val="bottom"/>
            <w:gridSpan w:val="8"/>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Amended and Restated Articles of Incorporation, as amended (filed herewith)</w:t>
              </w:r>
            </w:hyperlink>
          </w:p>
        </w:tc>
      </w:tr>
      <w:tr>
        <w:trPr>
          <w:trHeight w:val="250"/>
        </w:trPr>
        <w:tc>
          <w:tcPr>
            <w:tcW w:w="960" w:type="dxa"/>
            <w:vAlign w:val="bottom"/>
            <w:gridSpan w:val="2"/>
          </w:tcPr>
          <w:p>
            <w:pPr>
              <w:spacing w:after="0"/>
              <w:rPr>
                <w:sz w:val="21"/>
                <w:szCs w:val="21"/>
                <w:color w:val="auto"/>
              </w:rPr>
            </w:pPr>
          </w:p>
        </w:tc>
        <w:tc>
          <w:tcPr>
            <w:tcW w:w="24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97"/>
              </w:rPr>
            </w:pPr>
            <w:hyperlink r:id="rId1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10">
              <w:r>
                <w:rPr>
                  <w:rFonts w:ascii="Times New Roman" w:cs="Times New Roman" w:eastAsia="Times New Roman" w:hAnsi="Times New Roman"/>
                  <w:sz w:val="18"/>
                  <w:szCs w:val="18"/>
                  <w:color w:val="0000EE"/>
                </w:rPr>
                <w:t>Amended and Restated Bylaws of Ocwen Financial Corporation (1)</w:t>
              </w:r>
            </w:hyperlink>
          </w:p>
        </w:tc>
        <w:tc>
          <w:tcPr>
            <w:tcW w:w="3820" w:type="dxa"/>
            <w:vAlign w:val="bottom"/>
            <w:gridSpan w:val="5"/>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7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420" w:type="dxa"/>
            <w:vAlign w:val="bottom"/>
            <w:gridSpan w:val="3"/>
          </w:tcPr>
          <w:p>
            <w:pPr>
              <w:spacing w:after="0"/>
              <w:rPr>
                <w:rFonts w:ascii="Times New Roman" w:cs="Times New Roman" w:eastAsia="Times New Roman" w:hAnsi="Times New Roman"/>
                <w:sz w:val="18"/>
                <w:szCs w:val="18"/>
                <w:color w:val="0000EE"/>
                <w:w w:val="98"/>
              </w:rPr>
            </w:pPr>
            <w:hyperlink r:id="rId1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hyperlink>
          </w:p>
        </w:tc>
        <w:tc>
          <w:tcPr>
            <w:tcW w:w="640" w:type="dxa"/>
            <w:vAlign w:val="bottom"/>
          </w:tcPr>
          <w:p>
            <w:pPr>
              <w:spacing w:after="0"/>
              <w:rPr>
                <w:sz w:val="21"/>
                <w:szCs w:val="21"/>
                <w:color w:val="auto"/>
              </w:rPr>
            </w:pPr>
          </w:p>
        </w:tc>
        <w:tc>
          <w:tcPr>
            <w:tcW w:w="9420" w:type="dxa"/>
            <w:vAlign w:val="bottom"/>
            <w:gridSpan w:val="8"/>
          </w:tcPr>
          <w:p>
            <w:pPr>
              <w:spacing w:after="0"/>
              <w:rPr>
                <w:rFonts w:ascii="Times New Roman" w:cs="Times New Roman" w:eastAsia="Times New Roman" w:hAnsi="Times New Roman"/>
                <w:sz w:val="18"/>
                <w:szCs w:val="18"/>
                <w:color w:val="0000EE"/>
              </w:rPr>
            </w:pPr>
            <w:hyperlink r:id="rId11">
              <w:r>
                <w:rPr>
                  <w:rFonts w:ascii="Times New Roman" w:cs="Times New Roman" w:eastAsia="Times New Roman" w:hAnsi="Times New Roman"/>
                  <w:sz w:val="18"/>
                  <w:szCs w:val="18"/>
                  <w:color w:val="0000EE"/>
                </w:rPr>
                <w:t>Ocwen Financial Corporation 2017 Performance Incentive Plan (2)</w:t>
              </w:r>
            </w:hyperlink>
          </w:p>
        </w:tc>
      </w:tr>
      <w:tr>
        <w:trPr>
          <w:trHeight w:val="20"/>
        </w:trPr>
        <w:tc>
          <w:tcPr>
            <w:tcW w:w="8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110">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10">
              <w:r>
                <w:rPr>
                  <w:rFonts w:ascii="Times New Roman" w:cs="Times New Roman" w:eastAsia="Times New Roman" w:hAnsi="Times New Roman"/>
                  <w:sz w:val="18"/>
                  <w:szCs w:val="18"/>
                  <w:color w:val="0000EE"/>
                  <w:w w:val="99"/>
                </w:rPr>
                <w:t>Certification of the Chief Executive Officer pursuant to Section 302 of the Sarbanes-Oxley Act of 2002 (filed herewith)</w:t>
              </w:r>
            </w:hyperlink>
          </w:p>
        </w:tc>
        <w:tc>
          <w:tcPr>
            <w:tcW w:w="800" w:type="dxa"/>
            <w:vAlign w:val="bottom"/>
            <w:gridSpan w:val="3"/>
          </w:tcPr>
          <w:p>
            <w:pPr>
              <w:spacing w:after="0"/>
              <w:rPr>
                <w:sz w:val="21"/>
                <w:szCs w:val="21"/>
                <w:color w:val="auto"/>
              </w:rPr>
            </w:pPr>
          </w:p>
        </w:tc>
      </w:tr>
      <w:tr>
        <w:trPr>
          <w:trHeight w:val="250"/>
        </w:trPr>
        <w:tc>
          <w:tcPr>
            <w:tcW w:w="880" w:type="dxa"/>
            <w:vAlign w:val="bottom"/>
          </w:tcPr>
          <w:p>
            <w:pPr>
              <w:spacing w:after="0"/>
              <w:rPr>
                <w:sz w:val="21"/>
                <w:szCs w:val="21"/>
                <w:color w:val="auto"/>
              </w:rPr>
            </w:pPr>
          </w:p>
        </w:tc>
        <w:tc>
          <w:tcPr>
            <w:tcW w:w="320" w:type="dxa"/>
            <w:vAlign w:val="bottom"/>
            <w:gridSpan w:val="2"/>
          </w:tcPr>
          <w:p>
            <w:pPr>
              <w:spacing w:after="0"/>
              <w:rPr>
                <w:rFonts w:ascii="Times New Roman" w:cs="Times New Roman" w:eastAsia="Times New Roman" w:hAnsi="Times New Roman"/>
                <w:sz w:val="18"/>
                <w:szCs w:val="18"/>
                <w:color w:val="0000EE"/>
                <w:w w:val="95"/>
              </w:rPr>
            </w:pPr>
            <w:hyperlink w:anchor="page111">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20" w:type="dxa"/>
            <w:vAlign w:val="bottom"/>
            <w:gridSpan w:val="8"/>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Certification of the Chief Financial Officer pursuant to Section 302 of the Sarbanes-Oxley Act of 2002 (filed herewith)</w:t>
              </w:r>
            </w:hyperlink>
          </w:p>
        </w:tc>
      </w:tr>
      <w:tr>
        <w:trPr>
          <w:trHeight w:val="20"/>
        </w:trPr>
        <w:tc>
          <w:tcPr>
            <w:tcW w:w="8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112">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Certification of the Chief Executive Officer pursuant to 18 U.S.C. Section 1350, as adopted pursuant to Section 906 of the</w:t>
              </w:r>
            </w:hyperlink>
          </w:p>
        </w:tc>
        <w:tc>
          <w:tcPr>
            <w:tcW w:w="62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Sarbanes-Oxley Act of 2002 (furnished herewith)</w:t>
              </w:r>
            </w:hyperlink>
          </w:p>
        </w:tc>
        <w:tc>
          <w:tcPr>
            <w:tcW w:w="5840" w:type="dxa"/>
            <w:vAlign w:val="bottom"/>
            <w:gridSpan w:val="7"/>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320" w:type="dxa"/>
            <w:vAlign w:val="bottom"/>
            <w:gridSpan w:val="2"/>
          </w:tcPr>
          <w:p>
            <w:pPr>
              <w:spacing w:after="0"/>
              <w:rPr>
                <w:rFonts w:ascii="Times New Roman" w:cs="Times New Roman" w:eastAsia="Times New Roman" w:hAnsi="Times New Roman"/>
                <w:sz w:val="18"/>
                <w:szCs w:val="18"/>
                <w:color w:val="0000EE"/>
                <w:w w:val="95"/>
              </w:rPr>
            </w:pPr>
            <w:hyperlink w:anchor="page113">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20" w:type="dxa"/>
            <w:vAlign w:val="bottom"/>
            <w:gridSpan w:val="8"/>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Certification of the Chief Financial Officer pursuant to 18 U.S.C. Section 1350, as adopted pursuant to Section 906 of the</w:t>
              </w:r>
            </w:hyperlink>
          </w:p>
        </w:tc>
      </w:tr>
      <w:tr>
        <w:trPr>
          <w:trHeight w:val="196"/>
        </w:trPr>
        <w:tc>
          <w:tcPr>
            <w:tcW w:w="8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Sarbanes-Oxley Act of 2002 (furnished herewith)</w:t>
              </w:r>
            </w:hyperlink>
          </w:p>
        </w:tc>
        <w:tc>
          <w:tcPr>
            <w:tcW w:w="5160" w:type="dxa"/>
            <w:vAlign w:val="bottom"/>
            <w:tcBorders>
              <w:top w:val="single" w:sz="8" w:color="0000EE"/>
            </w:tcBorders>
            <w:gridSpan w:val="5"/>
          </w:tcPr>
          <w:p>
            <w:pPr>
              <w:spacing w:after="0"/>
              <w:rPr>
                <w:sz w:val="17"/>
                <w:szCs w:val="17"/>
                <w:color w:val="auto"/>
              </w:rPr>
            </w:pPr>
          </w:p>
        </w:tc>
        <w:tc>
          <w:tcPr>
            <w:tcW w:w="680" w:type="dxa"/>
            <w:vAlign w:val="bottom"/>
            <w:gridSpan w:val="2"/>
          </w:tcPr>
          <w:p>
            <w:pPr>
              <w:spacing w:after="0"/>
              <w:rPr>
                <w:sz w:val="17"/>
                <w:szCs w:val="17"/>
                <w:color w:val="auto"/>
              </w:rPr>
            </w:pPr>
          </w:p>
        </w:tc>
      </w:tr>
      <w:tr>
        <w:trPr>
          <w:trHeight w:val="291"/>
        </w:trPr>
        <w:tc>
          <w:tcPr>
            <w:tcW w:w="19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101.INS</w:t>
            </w: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270"/>
        </w:trPr>
        <w:tc>
          <w:tcPr>
            <w:tcW w:w="19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 (filed herewith)</w:t>
            </w:r>
          </w:p>
        </w:tc>
      </w:tr>
      <w:tr>
        <w:trPr>
          <w:trHeight w:val="270"/>
        </w:trPr>
        <w:tc>
          <w:tcPr>
            <w:tcW w:w="19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 (filed herewith)</w:t>
            </w:r>
          </w:p>
        </w:tc>
      </w:tr>
      <w:tr>
        <w:trPr>
          <w:trHeight w:val="270"/>
        </w:trPr>
        <w:tc>
          <w:tcPr>
            <w:tcW w:w="19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 (filed herewith)</w:t>
            </w:r>
          </w:p>
        </w:tc>
      </w:tr>
      <w:tr>
        <w:trPr>
          <w:trHeight w:val="270"/>
        </w:trPr>
        <w:tc>
          <w:tcPr>
            <w:tcW w:w="19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 (filed herewith)</w:t>
            </w:r>
          </w:p>
        </w:tc>
      </w:tr>
      <w:tr>
        <w:trPr>
          <w:trHeight w:val="270"/>
        </w:trPr>
        <w:tc>
          <w:tcPr>
            <w:tcW w:w="194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 (filed herewith)</w:t>
            </w:r>
          </w:p>
        </w:tc>
      </w:tr>
      <w:tr>
        <w:trPr>
          <w:trHeight w:val="169"/>
        </w:trPr>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bl>
    <w:p>
      <w:pPr>
        <w:spacing w:after="0" w:line="2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agreement.</w:t>
      </w:r>
    </w:p>
    <w:p>
      <w:pPr>
        <w:spacing w:after="0" w:line="122"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similarly described exhibit included with the Registrant’s Form 8-K filed with the SEC on February 19, 2016.</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the similarly described exhibit included with the Registrant’s Form 8-K filed with the SEC on May 24, 2017.</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792" w:right="259" w:bottom="1440" w:gutter="0" w:footer="0" w:header="0"/>
        </w:sectPr>
      </w:pPr>
    </w:p>
    <w:bookmarkStart w:id="82" w:name="page83"/>
    <w:bookmarkEnd w:id="8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00"/>
          </w:cols>
          <w:pgMar w:left="240" w:top="684" w:right="3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NAME</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name of this corporation 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OFFICE</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address of the principal office and the mailing address of this corporation 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1675 Palm Beach Lakes Boulevard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Palm Beach, Florida 33401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STOCK</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designations and the powers, preferences and rights, and the qualifications, limitations or restrictions thereof, of the Preferred Stock shall be as follows:</w:t>
      </w:r>
    </w:p>
    <w:p>
      <w:pPr>
        <w:spacing w:after="0" w:line="225" w:lineRule="exact"/>
        <w:rPr>
          <w:sz w:val="20"/>
          <w:szCs w:val="20"/>
          <w:color w:val="auto"/>
        </w:rPr>
      </w:pPr>
    </w:p>
    <w:p>
      <w:pPr>
        <w:jc w:val="both"/>
        <w:ind w:firstLine="8"/>
        <w:spacing w:after="0" w:line="258" w:lineRule="auto"/>
        <w:tabs>
          <w:tab w:leader="none" w:pos="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184"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and number of shares constituting such series;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redemption by this corporation, and, if made subject to such redemption, the times, prices and other terms and conditions of such redemption;</w:t>
      </w:r>
    </w:p>
    <w:p>
      <w:pPr>
        <w:sectPr>
          <w:pgSz w:w="11900" w:h="16838" w:orient="portrait"/>
          <w:cols w:equalWidth="0" w:num="1">
            <w:col w:w="11420"/>
          </w:cols>
          <w:pgMar w:left="240" w:top="360" w:right="239" w:bottom="1440" w:gutter="0" w:footer="0" w:header="0"/>
        </w:sectPr>
      </w:pPr>
    </w:p>
    <w:bookmarkStart w:id="84" w:name="page85"/>
    <w:bookmarkEnd w:id="84"/>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if any, provided for the purchase or redemption of the shares of such series;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if any, to which the holders of the shares of such series shall be entitled to vote as a class or otherwise with respect to the election of the directors or otherwise;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if any, on the issue or reissue of any additional Preferred Stock;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shares of such series upon the dissolution of, or upon the distribution of assets of, this corporation.</w:t>
      </w:r>
    </w:p>
    <w:p>
      <w:pPr>
        <w:spacing w:after="0" w:line="225" w:lineRule="exact"/>
        <w:rPr>
          <w:sz w:val="20"/>
          <w:szCs w:val="20"/>
          <w:color w:val="auto"/>
        </w:rPr>
      </w:pPr>
    </w:p>
    <w:p>
      <w:pPr>
        <w:ind w:right="280" w:firstLine="8"/>
        <w:spacing w:after="0" w:line="282" w:lineRule="auto"/>
        <w:tabs>
          <w:tab w:leader="none" w:pos="2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AFFILIATE TRANSACTIONS; CONTROL-SHARE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corporation hereby expressly elects not to be governed by Fla. Stat. Section 607.0901, as the same may be amended or supplemented.</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Fla. Stat. Section 607.0902, as amended or supplemented, shall not apply to control-share acquisitions of shares of this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corporation shall, to the fullest extent permitted by the provisions of Fla. Stat. Section 607.0850,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have executed, subscribed and acknowledged these Amended and Restated Articles of Incorporation on July 23, 1996.</w:t>
      </w:r>
    </w:p>
    <w:p>
      <w:pPr>
        <w:spacing w:after="0" w:line="2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/s/ William C. Erbey</w:t>
      </w:r>
    </w:p>
    <w:p>
      <w:pPr>
        <w:spacing w:after="0" w:line="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William C. Erbey, President</w:t>
      </w:r>
    </w:p>
    <w:p>
      <w:pPr>
        <w:sectPr>
          <w:pgSz w:w="11900" w:h="16838" w:orient="portrait"/>
          <w:cols w:equalWidth="0" w:num="1">
            <w:col w:w="11420"/>
          </w:cols>
          <w:pgMar w:left="240" w:top="364" w:right="239" w:bottom="1440" w:gutter="0" w:footer="0" w:header="0"/>
        </w:sectPr>
      </w:pPr>
    </w:p>
    <w:bookmarkStart w:id="85" w:name="page86"/>
    <w:bookmarkEnd w:id="8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AMENDED AND RESTATED ARTICLES OF INCORPORATION</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0" w:lineRule="exact"/>
        <w:rPr>
          <w:sz w:val="20"/>
          <w:szCs w:val="20"/>
          <w:color w:val="auto"/>
        </w:rPr>
      </w:pPr>
    </w:p>
    <w:p>
      <w:pPr>
        <w:ind w:right="440" w:firstLine="648"/>
        <w:spacing w:after="0" w:line="329" w:lineRule="auto"/>
        <w:rPr>
          <w:sz w:val="20"/>
          <w:szCs w:val="20"/>
          <w:color w:val="auto"/>
        </w:rPr>
      </w:pPr>
      <w:r>
        <w:rPr>
          <w:rFonts w:ascii="Times New Roman" w:cs="Times New Roman" w:eastAsia="Times New Roman" w:hAnsi="Times New Roman"/>
          <w:sz w:val="18"/>
          <w:szCs w:val="18"/>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Ocwen Financial Corporation.</w:t>
      </w:r>
    </w:p>
    <w:p>
      <w:pPr>
        <w:spacing w:after="0" w:line="306" w:lineRule="exact"/>
        <w:rPr>
          <w:sz w:val="20"/>
          <w:szCs w:val="20"/>
          <w:color w:val="auto"/>
        </w:rPr>
      </w:pPr>
    </w:p>
    <w:p>
      <w:pPr>
        <w:ind w:right="240"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at a regular meeting of the members of the Board of Directors of the Corporation held on March 8, 2006, resolutions were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proposing to amend Article III of the Amended and Restated Articles of Incorporation of the Corporation and declaring such amendment to be advisable.</w:t>
      </w:r>
    </w:p>
    <w:p>
      <w:pPr>
        <w:spacing w:after="0" w:line="211"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amendment to the Amended and Restated Articles of Incorporation set forth below does not adversely affect the rights or preferences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holders of outstanding shares of any class or series and does not materially result in the percentage of authorized shares that remain unissued after the combination exceeding the percentage of authorized shares that were unissued before the combination.</w:t>
      </w:r>
    </w:p>
    <w:p>
      <w:pPr>
        <w:spacing w:after="0" w:line="211" w:lineRule="exact"/>
        <w:rPr>
          <w:sz w:val="20"/>
          <w:szCs w:val="20"/>
          <w:color w:val="auto"/>
        </w:rPr>
      </w:pPr>
    </w:p>
    <w:p>
      <w:pPr>
        <w:ind w:right="6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Each ten (10) shares of issued common stock par value $0.01 per share of the Corporation (“Common Stock”) are to be combined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(1) share of Common Stock, provided that no fractional shares are to be issued to any holder of fewer than ten (10) shares of Common Stock.</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Article III of the Amended and Restated Articles of Incorporation shall be deleted in its entirety and replaced with the following:</w:t>
      </w:r>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310" w:lineRule="exact"/>
        <w:rPr>
          <w:sz w:val="20"/>
          <w:szCs w:val="20"/>
          <w:color w:val="auto"/>
        </w:rPr>
      </w:pPr>
    </w:p>
    <w:p>
      <w:pPr>
        <w:ind w:right="40" w:firstLine="648"/>
        <w:spacing w:after="0" w:line="308"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 The designations and the powers, preferences and rights, and the qualifications, limitations or restrictions thereof, of the Preferred Stock shall be as follows:</w:t>
      </w:r>
    </w:p>
    <w:p>
      <w:pPr>
        <w:sectPr>
          <w:pgSz w:w="11900" w:h="16838" w:orient="portrait"/>
          <w:cols w:equalWidth="0" w:num="1">
            <w:col w:w="11260"/>
          </w:cols>
          <w:pgMar w:left="240" w:top="644" w:right="3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Board of Directors is expressly authorized at any time, and from time to time, to provide for the issuance of shares of Preferred</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Stock in one or more series, with such voting powers, full or limited, or without voting powers, and with such designations,</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preferences and relative, participating, optional or other special rights, and qualifications, limitations or restrictions thereof, as shall</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be stated and expressed in the resolutions providing for the issue thereof adopted by the Board of Directors, and as are not stated and</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expressed in these Articles of Incorporation, or any amendment thereto, including (but without limiting the generality of the</w:t>
            </w:r>
          </w:p>
        </w:tc>
      </w:tr>
      <w:tr>
        <w:trPr>
          <w:trHeight w:val="234"/>
        </w:trPr>
        <w:tc>
          <w:tcPr>
            <w:tcW w:w="980" w:type="dxa"/>
            <w:vAlign w:val="bottom"/>
          </w:tcPr>
          <w:p>
            <w:pPr>
              <w:spacing w:after="0"/>
              <w:rPr>
                <w:sz w:val="20"/>
                <w:szCs w:val="20"/>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foregoing) the following:</w:t>
            </w:r>
          </w:p>
        </w:tc>
      </w:tr>
      <w:tr>
        <w:trPr>
          <w:trHeight w:val="9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the designation of and number of shares constituting such series;</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dividend rate of such series, the conditions and dates upon which such dividends shall be payable, the preference or</w:t>
            </w:r>
          </w:p>
        </w:tc>
      </w:tr>
      <w:tr>
        <w:trPr>
          <w:trHeight w:val="216"/>
        </w:trPr>
        <w:tc>
          <w:tcPr>
            <w:tcW w:w="980" w:type="dxa"/>
            <w:vAlign w:val="bottom"/>
          </w:tcPr>
          <w:p>
            <w:pPr>
              <w:spacing w:after="0"/>
              <w:rPr>
                <w:sz w:val="18"/>
                <w:szCs w:val="18"/>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relation which such dividends shall bear to the dividends payable on any other class or classes or of any other series of</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capital stock, and whether such dividends shall be cumulative or non-cumulative;</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whether the shares of such series shall be subject to redemption by this corporation, and, if made subject to such</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redemption, the times, prices and other terms and conditions of such redemption;</w:t>
            </w:r>
          </w:p>
        </w:tc>
      </w:tr>
      <w:tr>
        <w:trPr>
          <w:trHeight w:val="9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terms and amounts of any sinking fund, if any, provided for the purchase or redemption of the shares of such series;</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whether or not the shares of such series shall be convertible into or exchangeable for shares of any other class or classes</w:t>
            </w:r>
          </w:p>
        </w:tc>
      </w:tr>
      <w:tr>
        <w:trPr>
          <w:trHeight w:val="216"/>
        </w:trPr>
        <w:tc>
          <w:tcPr>
            <w:tcW w:w="980" w:type="dxa"/>
            <w:vAlign w:val="bottom"/>
          </w:tcPr>
          <w:p>
            <w:pPr>
              <w:spacing w:after="0"/>
              <w:rPr>
                <w:sz w:val="18"/>
                <w:szCs w:val="18"/>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or of any other series of any class or classes of capital stock of this corporation, and, if provision be made for conversion</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or exchange, the times, prices, rates, adjustments and other terms and conditions of such conversion or exchange;</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extent, if any, to which the holders of the shares of such series shall be entitled to vote as a class or otherwise with</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respect to the election of the directors or otherwise;</w:t>
            </w:r>
          </w:p>
        </w:tc>
      </w:tr>
    </w:tbl>
    <w:p>
      <w:pPr>
        <w:sectPr>
          <w:pgSz w:w="11900" w:h="16838" w:orient="portrait"/>
          <w:cols w:equalWidth="0" w:num="1">
            <w:col w:w="11320"/>
          </w:cols>
          <w:pgMar w:left="280" w:top="824" w:right="299" w:bottom="1440" w:gutter="0" w:footer="0" w:header="0"/>
        </w:sectPr>
      </w:pPr>
    </w:p>
    <w:bookmarkStart w:id="87" w:name="page88"/>
    <w:bookmarkEnd w:id="8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1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the restrictions, if any, on the issue or reissue of any additional Preferred Stock; and</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rights of the holders of the shares of such series upon the dissolution of, or upon the distribution of assets of, this</w:t>
            </w:r>
          </w:p>
        </w:tc>
      </w:tr>
      <w:tr>
        <w:trPr>
          <w:trHeight w:val="234"/>
        </w:trPr>
        <w:tc>
          <w:tcPr>
            <w:tcW w:w="980" w:type="dxa"/>
            <w:vAlign w:val="bottom"/>
          </w:tcPr>
          <w:p>
            <w:pPr>
              <w:spacing w:after="0"/>
              <w:rPr>
                <w:sz w:val="20"/>
                <w:szCs w:val="20"/>
                <w:color w:val="auto"/>
              </w:rPr>
            </w:pPr>
          </w:p>
        </w:tc>
        <w:tc>
          <w:tcPr>
            <w:tcW w:w="10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corporation.</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0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Except as otherwise required by law and except for such voting powers with respect to the election of directors or other matters as</w:t>
            </w:r>
          </w:p>
        </w:tc>
      </w:tr>
      <w:tr>
        <w:trPr>
          <w:trHeight w:val="216"/>
        </w:trPr>
        <w:tc>
          <w:tcPr>
            <w:tcW w:w="980" w:type="dxa"/>
            <w:vAlign w:val="bottom"/>
          </w:tcPr>
          <w:p>
            <w:pPr>
              <w:spacing w:after="0"/>
              <w:rPr>
                <w:sz w:val="18"/>
                <w:szCs w:val="18"/>
                <w:color w:val="auto"/>
              </w:rPr>
            </w:pPr>
          </w:p>
        </w:tc>
        <w:tc>
          <w:tcPr>
            <w:tcW w:w="10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may be stated in the resolutions of the Board of Directors creating any series of Preferred Stock, the holder of any such series shall</w:t>
            </w:r>
          </w:p>
        </w:tc>
      </w:tr>
      <w:tr>
        <w:trPr>
          <w:trHeight w:val="234"/>
        </w:trPr>
        <w:tc>
          <w:tcPr>
            <w:tcW w:w="980" w:type="dxa"/>
            <w:vAlign w:val="bottom"/>
          </w:tcPr>
          <w:p>
            <w:pPr>
              <w:spacing w:after="0"/>
              <w:rPr>
                <w:sz w:val="20"/>
                <w:szCs w:val="20"/>
                <w:color w:val="auto"/>
              </w:rPr>
            </w:pPr>
          </w:p>
        </w:tc>
        <w:tc>
          <w:tcPr>
            <w:tcW w:w="10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have no voting power whatsoever.</w:t>
            </w:r>
          </w:p>
        </w:tc>
      </w:tr>
    </w:tbl>
    <w:p>
      <w:pPr>
        <w:spacing w:after="0" w:line="292"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Without regard to any other provision of these Articles of Incorporation (all of which are hereby amended as and to the extent necessary to allow the matters and transactions contemplated and effected hereby), each ten (10) shares of Common Stock, either issued and outstanding or held by the Corporation as treasury stock, immediately prior to the time this amendment becomes effective shall be and are hereby automatically reclassified and changed (without any further act) into one fully-paid and non-assessable share of Common Stock, without increasing or decreasing the amount of stated capital or paid-in surplus of the Corporation, provided that no fractional shares be issued to any holder of fewer than ten (10) shares of Common Stock immediately prior to the time this amendment becomes effective, and that instead of issuing fractional shares to such holders, the Corporation shall pay in cash the fair value of such fractions of a share as of the time when this amendment becomes effective.”</w:t>
      </w:r>
    </w:p>
    <w:p>
      <w:pPr>
        <w:spacing w:after="0" w:line="226" w:lineRule="exact"/>
        <w:rPr>
          <w:sz w:val="20"/>
          <w:szCs w:val="20"/>
          <w:color w:val="auto"/>
        </w:rPr>
      </w:pPr>
    </w:p>
    <w:p>
      <w:pPr>
        <w:ind w:right="88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That at the annual meeting of shareholders held on May 4, 2006, said amendments were duly adopted by a sufficient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in accordance with Section 1003 of the Florida Statutes.</w:t>
      </w:r>
    </w:p>
    <w:p>
      <w:pPr>
        <w:spacing w:after="0" w:line="195" w:lineRule="exact"/>
        <w:rPr>
          <w:sz w:val="20"/>
          <w:szCs w:val="20"/>
          <w:color w:val="auto"/>
        </w:rPr>
      </w:pPr>
    </w:p>
    <w:p>
      <w:pPr>
        <w:ind w:right="2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That these Articles of Amendment shall become effective at 4:59 p.m. eastern time on May 12, 2006, in accordance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Florida Statutes.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Ocwen Financial Corporation has caused this certificate to be signed by its Corporate Secretary this 12th day of May,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w:t>
      </w:r>
    </w:p>
    <w:p>
      <w:pPr>
        <w:spacing w:after="0" w:line="200" w:lineRule="exact"/>
        <w:rPr>
          <w:sz w:val="20"/>
          <w:szCs w:val="20"/>
          <w:color w:val="auto"/>
        </w:rPr>
      </w:pPr>
    </w:p>
    <w:p>
      <w:pPr>
        <w:spacing w:after="0" w:line="36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Ronald M. Faris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Ronald M. Faris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380"/>
          </w:cols>
          <w:pgMar w:left="240" w:top="823" w:right="27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ARTICLES OF INCORPORATION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0" w:lineRule="exact"/>
        <w:rPr>
          <w:sz w:val="20"/>
          <w:szCs w:val="20"/>
          <w:color w:val="auto"/>
        </w:rPr>
      </w:pPr>
    </w:p>
    <w:p>
      <w:pPr>
        <w:ind w:right="600" w:firstLine="648"/>
        <w:spacing w:after="0" w:line="329" w:lineRule="auto"/>
        <w:rPr>
          <w:sz w:val="20"/>
          <w:szCs w:val="20"/>
          <w:color w:val="auto"/>
        </w:rPr>
      </w:pPr>
      <w:r>
        <w:rPr>
          <w:rFonts w:ascii="Times New Roman" w:cs="Times New Roman" w:eastAsia="Times New Roman" w:hAnsi="Times New Roman"/>
          <w:sz w:val="18"/>
          <w:szCs w:val="18"/>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Ocwen Financial Corporation.</w:t>
      </w:r>
    </w:p>
    <w:p>
      <w:pPr>
        <w:spacing w:after="0" w:line="306" w:lineRule="exact"/>
        <w:rPr>
          <w:sz w:val="20"/>
          <w:szCs w:val="20"/>
          <w:color w:val="auto"/>
        </w:rPr>
      </w:pPr>
    </w:p>
    <w:p>
      <w:pPr>
        <w:ind w:right="400"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at a regular meeting of the members of the Board of Directors of the Corporation held on March 8, 2006, resolutions were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proposing to amend Article III of the Amended and Restated Articles of Incorporation of the Corporation and declaring such amendment to be advisable.</w:t>
      </w:r>
    </w:p>
    <w:p>
      <w:pPr>
        <w:spacing w:after="0" w:line="211" w:lineRule="exact"/>
        <w:rPr>
          <w:sz w:val="20"/>
          <w:szCs w:val="20"/>
          <w:color w:val="auto"/>
        </w:rPr>
      </w:pPr>
    </w:p>
    <w:p>
      <w:pPr>
        <w:jc w:val="both"/>
        <w:ind w:right="160"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amendment to the Amended and Restated Articles of Incorporation set forth below does not adversely affect the rights or preferences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holders of outstanding shares of any class or series and does not materially result in the percentage of authorized shares that remain unissued after the division exceeding the percentage of authorized shares that were unissued before the division.</w:t>
      </w:r>
    </w:p>
    <w:p>
      <w:pPr>
        <w:spacing w:after="0" w:line="211" w:lineRule="exact"/>
        <w:rPr>
          <w:sz w:val="20"/>
          <w:szCs w:val="20"/>
          <w:color w:val="auto"/>
        </w:rPr>
      </w:pPr>
    </w:p>
    <w:p>
      <w:pPr>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Each one (1) share of issued common stock par value $0.01 per share of the Corporation (“Common Stock”) is to be divided into ten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Article III of the Amended and Restated Articles of Incorporation shall be deleted in its entirety and replaced with the following:</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310" w:lineRule="exact"/>
        <w:rPr>
          <w:sz w:val="20"/>
          <w:szCs w:val="20"/>
          <w:color w:val="auto"/>
        </w:rPr>
      </w:pPr>
    </w:p>
    <w:p>
      <w:pPr>
        <w:ind w:right="200" w:firstLine="648"/>
        <w:spacing w:after="0" w:line="308"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 The designations and the powers, preferences and rights, and the qualifications, limitations or restrictions thereof, of the Preferred Stock shall be as follows:</w:t>
      </w:r>
    </w:p>
    <w:p>
      <w:pPr>
        <w:sectPr>
          <w:pgSz w:w="11900" w:h="16838" w:orient="portrait"/>
          <w:cols w:equalWidth="0" w:num="1">
            <w:col w:w="11420"/>
          </w:cols>
          <w:pgMar w:left="240" w:top="644"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Board of Directors is expressly authorized at any time, and from time to time, to provide for the issuance of shares of Preferred</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Stock in one or more series, with such voting powers, full or limited, or without voting powers, and with such designations,</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preferences and relative, participating, optional or other special rights, and qualifications, limitations or restrictions thereof, as shall</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be stated and expressed in the resolutions providing for the issue thereof adopted by the Board of Directors, and as are not stated and</w:t>
            </w:r>
          </w:p>
        </w:tc>
      </w:tr>
      <w:tr>
        <w:trPr>
          <w:trHeight w:val="216"/>
        </w:trPr>
        <w:tc>
          <w:tcPr>
            <w:tcW w:w="980" w:type="dxa"/>
            <w:vAlign w:val="bottom"/>
          </w:tcPr>
          <w:p>
            <w:pPr>
              <w:spacing w:after="0"/>
              <w:rPr>
                <w:sz w:val="18"/>
                <w:szCs w:val="18"/>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expressed in these Articles of Incorporation, or any amendment thereto, including (but without limiting the generality of the</w:t>
            </w:r>
          </w:p>
        </w:tc>
      </w:tr>
      <w:tr>
        <w:trPr>
          <w:trHeight w:val="234"/>
        </w:trPr>
        <w:tc>
          <w:tcPr>
            <w:tcW w:w="980" w:type="dxa"/>
            <w:vAlign w:val="bottom"/>
          </w:tcPr>
          <w:p>
            <w:pPr>
              <w:spacing w:after="0"/>
              <w:rPr>
                <w:sz w:val="20"/>
                <w:szCs w:val="20"/>
                <w:color w:val="auto"/>
              </w:rPr>
            </w:pPr>
          </w:p>
        </w:tc>
        <w:tc>
          <w:tcPr>
            <w:tcW w:w="10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foregoing) the following:</w:t>
            </w:r>
          </w:p>
        </w:tc>
      </w:tr>
      <w:tr>
        <w:trPr>
          <w:trHeight w:val="9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3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the designation of and number of shares constituting such series;</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dividend rate of such series, the conditions and dates upon which such dividends shall be payable, the preference or</w:t>
            </w:r>
          </w:p>
        </w:tc>
      </w:tr>
      <w:tr>
        <w:trPr>
          <w:trHeight w:val="216"/>
        </w:trPr>
        <w:tc>
          <w:tcPr>
            <w:tcW w:w="980" w:type="dxa"/>
            <w:vAlign w:val="bottom"/>
          </w:tcPr>
          <w:p>
            <w:pPr>
              <w:spacing w:after="0"/>
              <w:rPr>
                <w:sz w:val="18"/>
                <w:szCs w:val="18"/>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relation which such dividends shall bear to the dividends payable on any other class or classes or of any other series of</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capital stock, and whether such dividends shall be cumulative or non-cumulative;</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whether the shares of such series shall be subject to redemption by this corporation, and, if made subject to such</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redemption, the times, prices and other terms and conditions of such redemption;</w:t>
            </w:r>
          </w:p>
        </w:tc>
      </w:tr>
      <w:tr>
        <w:trPr>
          <w:trHeight w:val="9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terms and amounts of any sinking fund, if any, provided for the purchase or redemption of the shares of such series;</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whether or not the shares of such series shall be convertible into or exchangeable for shares of any other class or classes</w:t>
            </w:r>
          </w:p>
        </w:tc>
      </w:tr>
      <w:tr>
        <w:trPr>
          <w:trHeight w:val="216"/>
        </w:trPr>
        <w:tc>
          <w:tcPr>
            <w:tcW w:w="980" w:type="dxa"/>
            <w:vAlign w:val="bottom"/>
          </w:tcPr>
          <w:p>
            <w:pPr>
              <w:spacing w:after="0"/>
              <w:rPr>
                <w:sz w:val="18"/>
                <w:szCs w:val="18"/>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or of any other series of any class or classes of capital stock of this corporation, and, if provision be made for conversion</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or exchange, the times, prices, rates, adjustments and other terms and conditions of such conversion or exchange;</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extent, if any, to which the holders of the shares of such series shall be entitled to vote as a class or otherwise with</w:t>
            </w:r>
          </w:p>
        </w:tc>
      </w:tr>
      <w:tr>
        <w:trPr>
          <w:trHeight w:val="234"/>
        </w:trPr>
        <w:tc>
          <w:tcPr>
            <w:tcW w:w="980" w:type="dxa"/>
            <w:vAlign w:val="bottom"/>
          </w:tcPr>
          <w:p>
            <w:pPr>
              <w:spacing w:after="0"/>
              <w:rPr>
                <w:sz w:val="20"/>
                <w:szCs w:val="20"/>
                <w:color w:val="auto"/>
              </w:rPr>
            </w:pPr>
          </w:p>
        </w:tc>
        <w:tc>
          <w:tcPr>
            <w:tcW w:w="103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respect to the election of the directors or otherwise;</w:t>
            </w:r>
          </w:p>
        </w:tc>
      </w:tr>
    </w:tbl>
    <w:p>
      <w:pPr>
        <w:sectPr>
          <w:pgSz w:w="11900" w:h="16838" w:orient="portrait"/>
          <w:cols w:equalWidth="0" w:num="1">
            <w:col w:w="11320"/>
          </w:cols>
          <w:pgMar w:left="280" w:top="823" w:right="299" w:bottom="1440" w:gutter="0" w:footer="0" w:header="0"/>
        </w:sectPr>
      </w:pPr>
    </w:p>
    <w:bookmarkStart w:id="90" w:name="page91"/>
    <w:bookmarkEnd w:id="9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1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the restrictions, if any, on the issue or reissue of any additional Preferred Stock; and</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0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the rights of the holders of the shares of such series upon the dissolution of, or upon the distribution of assets of, this</w:t>
            </w:r>
          </w:p>
        </w:tc>
      </w:tr>
      <w:tr>
        <w:trPr>
          <w:trHeight w:val="234"/>
        </w:trPr>
        <w:tc>
          <w:tcPr>
            <w:tcW w:w="980" w:type="dxa"/>
            <w:vAlign w:val="bottom"/>
          </w:tcPr>
          <w:p>
            <w:pPr>
              <w:spacing w:after="0"/>
              <w:rPr>
                <w:sz w:val="20"/>
                <w:szCs w:val="20"/>
                <w:color w:val="auto"/>
              </w:rPr>
            </w:pPr>
          </w:p>
        </w:tc>
        <w:tc>
          <w:tcPr>
            <w:tcW w:w="101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corporation.</w:t>
            </w:r>
          </w:p>
        </w:tc>
      </w:tr>
      <w:tr>
        <w:trPr>
          <w:trHeight w:val="9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0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Except as otherwise required by law and except for such voting powers with respect to the election of directors or other matters as</w:t>
            </w:r>
          </w:p>
        </w:tc>
      </w:tr>
      <w:tr>
        <w:trPr>
          <w:trHeight w:val="216"/>
        </w:trPr>
        <w:tc>
          <w:tcPr>
            <w:tcW w:w="980" w:type="dxa"/>
            <w:vAlign w:val="bottom"/>
          </w:tcPr>
          <w:p>
            <w:pPr>
              <w:spacing w:after="0"/>
              <w:rPr>
                <w:sz w:val="18"/>
                <w:szCs w:val="18"/>
                <w:color w:val="auto"/>
              </w:rPr>
            </w:pPr>
          </w:p>
        </w:tc>
        <w:tc>
          <w:tcPr>
            <w:tcW w:w="10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may be stated in the resolutions of the Board of Directors creating any series of Preferred Stock, the holder of any such series shall</w:t>
            </w:r>
          </w:p>
        </w:tc>
      </w:tr>
      <w:tr>
        <w:trPr>
          <w:trHeight w:val="234"/>
        </w:trPr>
        <w:tc>
          <w:tcPr>
            <w:tcW w:w="980" w:type="dxa"/>
            <w:vAlign w:val="bottom"/>
          </w:tcPr>
          <w:p>
            <w:pPr>
              <w:spacing w:after="0"/>
              <w:rPr>
                <w:sz w:val="20"/>
                <w:szCs w:val="20"/>
                <w:color w:val="auto"/>
              </w:rPr>
            </w:pPr>
          </w:p>
        </w:tc>
        <w:tc>
          <w:tcPr>
            <w:tcW w:w="10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have no voting power whatsoever.</w:t>
            </w:r>
          </w:p>
        </w:tc>
      </w:tr>
    </w:tbl>
    <w:p>
      <w:pPr>
        <w:spacing w:after="0" w:line="292" w:lineRule="exact"/>
        <w:rPr>
          <w:sz w:val="20"/>
          <w:szCs w:val="20"/>
          <w:color w:val="auto"/>
        </w:rPr>
      </w:pPr>
    </w:p>
    <w:p>
      <w:pPr>
        <w:ind w:firstLine="648"/>
        <w:spacing w:after="0" w:line="302" w:lineRule="auto"/>
        <w:rPr>
          <w:sz w:val="20"/>
          <w:szCs w:val="20"/>
          <w:color w:val="auto"/>
        </w:rPr>
      </w:pPr>
      <w:r>
        <w:rPr>
          <w:rFonts w:ascii="Times New Roman" w:cs="Times New Roman" w:eastAsia="Times New Roman" w:hAnsi="Times New Roman"/>
          <w:sz w:val="18"/>
          <w:szCs w:val="18"/>
          <w:color w:val="auto"/>
        </w:rPr>
        <w:t>Without regard to any other provision of these Articles of Incorporation (all of which are hereby amended as and to the extent necessary to allow the matters and transactions contemplated and effected hereby), each one (1) share of Common Stock, either issued and outstanding or held by the Corporation as treasury stock, immediately prior to the time this amendment becomes effective shall be and is hereby automatically reclassified and changed (without any further act) into ten (10) fully-paid and non-assessable shares of Common Stock, without increasing or decreasing the amount of stated capital or paid-in surplus of the Corporation, provided that any fractional shares of Common Stock outstanding immediately prior to the time this amendment becomes effective, shall be converted into the number of shares of Common Stock equal to such fraction multiplied by ten (10) when this amendment becomes effective.”</w:t>
      </w:r>
    </w:p>
    <w:p>
      <w:pPr>
        <w:spacing w:after="0" w:line="226" w:lineRule="exact"/>
        <w:rPr>
          <w:sz w:val="20"/>
          <w:szCs w:val="20"/>
          <w:color w:val="auto"/>
        </w:rPr>
      </w:pPr>
    </w:p>
    <w:p>
      <w:pPr>
        <w:ind w:right="88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That at the annual meeting of shareholders held on May 4, 2006, said amendments were duly adopted by a sufficient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in accordance with Section 1003 of the Florida Statutes.</w:t>
      </w:r>
    </w:p>
    <w:p>
      <w:pPr>
        <w:spacing w:after="0" w:line="195" w:lineRule="exact"/>
        <w:rPr>
          <w:sz w:val="20"/>
          <w:szCs w:val="20"/>
          <w:color w:val="auto"/>
        </w:rPr>
      </w:pPr>
    </w:p>
    <w:p>
      <w:pPr>
        <w:ind w:right="2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That these Articles of Amendment shall become effective at 5:00 p.m. eastern time on May 12, 2006, in accordance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Florida Statutes.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Ocwen Financial Corporation has caused this certificate to be signed by its Corporate Secretary this 12th day of May, 2006.</w:t>
      </w:r>
    </w:p>
    <w:p>
      <w:pPr>
        <w:spacing w:after="0" w:line="200" w:lineRule="exact"/>
        <w:rPr>
          <w:sz w:val="20"/>
          <w:szCs w:val="20"/>
          <w:color w:val="auto"/>
        </w:rPr>
      </w:pPr>
    </w:p>
    <w:p>
      <w:pPr>
        <w:spacing w:after="0" w:line="3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Ronald M. Faris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Ronald M. Faris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380"/>
          </w:cols>
          <w:pgMar w:left="240" w:top="823" w:right="27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Ocwen Financial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Name of Corporation as currently filed with the Florida Dept. of State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S75556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 Number of Corporation (if known)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the provisions of section 607.1006, Florida Statutes, this </w:t>
      </w:r>
      <w:r>
        <w:rPr>
          <w:rFonts w:ascii="Times New Roman" w:cs="Times New Roman" w:eastAsia="Times New Roman" w:hAnsi="Times New Roman"/>
          <w:sz w:val="18"/>
          <w:szCs w:val="18"/>
          <w:b w:val="1"/>
          <w:bCs w:val="1"/>
          <w:i w:val="1"/>
          <w:iCs w:val="1"/>
          <w:color w:val="auto"/>
        </w:rPr>
        <w:t>Florida Profit Corporation</w:t>
      </w:r>
      <w:r>
        <w:rPr>
          <w:rFonts w:ascii="Times New Roman" w:cs="Times New Roman" w:eastAsia="Times New Roman" w:hAnsi="Times New Roman"/>
          <w:sz w:val="18"/>
          <w:szCs w:val="18"/>
          <w:color w:val="auto"/>
        </w:rPr>
        <w:t xml:space="preserve"> adopts the following amendment(s) to its Articles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w:t>
      </w:r>
    </w:p>
    <w:p>
      <w:pPr>
        <w:spacing w:after="0" w:line="365" w:lineRule="exact"/>
        <w:rPr>
          <w:sz w:val="20"/>
          <w:szCs w:val="20"/>
          <w:color w:val="auto"/>
        </w:rPr>
      </w:pPr>
    </w:p>
    <w:p>
      <w:pPr>
        <w:ind w:left="620" w:hanging="585"/>
        <w:spacing w:after="0"/>
        <w:tabs>
          <w:tab w:leader="none" w:pos="6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If amending name, enter the new name of the corporation</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______________________________________________________________ The new name must be distinguishable and contain the word “corporation,”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“company,” or “incorporated” or the abbreviation “Corp.,” “Inc.,” or</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 or the designation “Corp,” “Inc,” or “Co”.  A  professional corporation</w:t>
            </w:r>
          </w:p>
        </w:tc>
      </w:tr>
      <w:tr>
        <w:trPr>
          <w:trHeight w:val="236"/>
        </w:trPr>
        <w:tc>
          <w:tcPr>
            <w:tcW w:w="53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name must contain the word “chartered,” “professional association,” or</w:t>
            </w: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the abbreviation “P.A.”</w:t>
            </w:r>
          </w:p>
        </w:tc>
      </w:tr>
      <w:tr>
        <w:trPr>
          <w:trHeight w:val="554"/>
        </w:trPr>
        <w:tc>
          <w:tcPr>
            <w:tcW w:w="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w:t>
            </w:r>
          </w:p>
        </w:tc>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Enter new principal office address, if applicable:</w:t>
            </w:r>
          </w:p>
        </w:tc>
        <w:tc>
          <w:tcPr>
            <w:tcW w:w="6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2002 Summit Boulevard, Suite 600</w:t>
            </w:r>
          </w:p>
        </w:tc>
      </w:tr>
      <w:tr>
        <w:trPr>
          <w:trHeight w:val="20"/>
        </w:trPr>
        <w:tc>
          <w:tcPr>
            <w:tcW w:w="6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office address MUST BE A STREET ADDRESS</w:t>
            </w:r>
            <w:r>
              <w:rPr>
                <w:rFonts w:ascii="Times New Roman" w:cs="Times New Roman" w:eastAsia="Times New Roman" w:hAnsi="Times New Roman"/>
                <w:sz w:val="18"/>
                <w:szCs w:val="18"/>
                <w:b w:val="1"/>
                <w:bCs w:val="1"/>
                <w:color w:val="auto"/>
              </w:rPr>
              <w:t>)</w:t>
            </w:r>
          </w:p>
        </w:tc>
        <w:tc>
          <w:tcPr>
            <w:tcW w:w="60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Atlanta, GA 30319</w:t>
            </w:r>
          </w:p>
        </w:tc>
      </w:tr>
      <w:tr>
        <w:trPr>
          <w:trHeight w:val="20"/>
        </w:trPr>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20" w:right="6980" w:hanging="585"/>
        <w:spacing w:after="0" w:line="384" w:lineRule="auto"/>
        <w:tabs>
          <w:tab w:leader="none" w:pos="620"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Enter new mailing address, if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(Mailing address </w:t>
      </w:r>
      <w:r>
        <w:rPr>
          <w:rFonts w:ascii="Times New Roman" w:cs="Times New Roman" w:eastAsia="Times New Roman" w:hAnsi="Times New Roman"/>
          <w:sz w:val="17"/>
          <w:szCs w:val="17"/>
          <w:b w:val="1"/>
          <w:bCs w:val="1"/>
          <w:i w:val="1"/>
          <w:iCs w:val="1"/>
          <w:u w:val="single" w:color="auto"/>
          <w:color w:val="auto"/>
        </w:rPr>
        <w:t>MAY BE A POST OFFICE BOX</w:t>
      </w:r>
      <w:r>
        <w:rPr>
          <w:rFonts w:ascii="Times New Roman" w:cs="Times New Roman" w:eastAsia="Times New Roman" w:hAnsi="Times New Roman"/>
          <w:sz w:val="17"/>
          <w:szCs w:val="17"/>
          <w:i w:val="1"/>
          <w:iCs w:val="1"/>
          <w:color w:val="auto"/>
        </w:rPr>
        <w:t>)</w:t>
      </w:r>
    </w:p>
    <w:p>
      <w:pPr>
        <w:spacing w:after="0" w:line="130" w:lineRule="exact"/>
        <w:rPr>
          <w:rFonts w:ascii="Times New Roman" w:cs="Times New Roman" w:eastAsia="Times New Roman" w:hAnsi="Times New Roman"/>
          <w:sz w:val="17"/>
          <w:szCs w:val="17"/>
          <w:b w:val="1"/>
          <w:bCs w:val="1"/>
          <w:color w:val="auto"/>
        </w:rPr>
      </w:pPr>
    </w:p>
    <w:p>
      <w:pPr>
        <w:ind w:right="80" w:firstLine="8"/>
        <w:spacing w:after="0" w:line="286" w:lineRule="auto"/>
        <w:tabs>
          <w:tab w:leader="none" w:pos="2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If amending the registered agent and/or registered office address in Florida, enter the name of the new registered agent and/or the new registered office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-452755</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Name of New Registered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35560</wp:posOffset>
            </wp:positionV>
            <wp:extent cx="19551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New Registered Office 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35560</wp:posOffset>
            </wp:positionV>
            <wp:extent cx="19551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7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(Florida street address)</w:t>
      </w:r>
    </w:p>
    <w:p>
      <w:pPr>
        <w:spacing w:after="0" w:line="200" w:lineRule="exact"/>
        <w:rPr>
          <w:sz w:val="20"/>
          <w:szCs w:val="20"/>
          <w:color w:val="auto"/>
        </w:rPr>
      </w:pPr>
    </w:p>
    <w:p>
      <w:pPr>
        <w:spacing w:after="0" w:line="216" w:lineRule="exact"/>
        <w:rPr>
          <w:sz w:val="20"/>
          <w:szCs w:val="20"/>
          <w:color w:val="auto"/>
        </w:rPr>
      </w:pPr>
    </w:p>
    <w:p>
      <w:pPr>
        <w:ind w:left="7000"/>
        <w:spacing w:after="0"/>
        <w:tabs>
          <w:tab w:leader="none" w:pos="7260" w:val="left"/>
        </w:tabs>
        <w:rPr>
          <w:sz w:val="20"/>
          <w:szCs w:val="20"/>
          <w:color w:val="auto"/>
        </w:rPr>
      </w:pPr>
      <w:r>
        <w:rPr>
          <w:rFonts w:ascii="Times New Roman" w:cs="Times New Roman" w:eastAsia="Times New Roman" w:hAnsi="Times New Roman"/>
          <w:sz w:val="18"/>
          <w:szCs w:val="18"/>
          <w:color w:val="auto"/>
        </w:rPr>
        <w:t>,</w:t>
        <w:tab/>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34290</wp:posOffset>
            </wp:positionV>
            <wp:extent cx="47764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76470" cy="17145"/>
                    </a:xfrm>
                    <a:prstGeom prst="rect">
                      <a:avLst/>
                    </a:prstGeom>
                    <a:noFill/>
                  </pic:spPr>
                </pic:pic>
              </a:graphicData>
            </a:graphic>
          </wp:anchor>
        </w:drawing>
      </w:r>
    </w:p>
    <w:p>
      <w:pPr>
        <w:spacing w:after="0" w:line="68" w:lineRule="exact"/>
        <w:rPr>
          <w:sz w:val="20"/>
          <w:szCs w:val="20"/>
          <w:color w:val="auto"/>
        </w:rPr>
      </w:pPr>
    </w:p>
    <w:p>
      <w:pPr>
        <w:ind w:left="3920"/>
        <w:spacing w:after="0"/>
        <w:tabs>
          <w:tab w:leader="none" w:pos="8120" w:val="left"/>
        </w:tabs>
        <w:rPr>
          <w:sz w:val="20"/>
          <w:szCs w:val="20"/>
          <w:color w:val="auto"/>
        </w:rPr>
      </w:pPr>
      <w:r>
        <w:rPr>
          <w:rFonts w:ascii="Times New Roman" w:cs="Times New Roman" w:eastAsia="Times New Roman" w:hAnsi="Times New Roman"/>
          <w:sz w:val="18"/>
          <w:szCs w:val="18"/>
          <w:i w:val="1"/>
          <w:iCs w:val="1"/>
          <w:color w:val="auto"/>
        </w:rPr>
        <w:t>(City)</w:t>
      </w:r>
      <w:r>
        <w:rPr>
          <w:sz w:val="20"/>
          <w:szCs w:val="20"/>
          <w:color w:val="auto"/>
        </w:rPr>
        <w:tab/>
      </w:r>
      <w:r>
        <w:rPr>
          <w:rFonts w:ascii="Times New Roman" w:cs="Times New Roman" w:eastAsia="Times New Roman" w:hAnsi="Times New Roman"/>
          <w:sz w:val="18"/>
          <w:szCs w:val="18"/>
          <w:i w:val="1"/>
          <w:iCs w:val="1"/>
          <w:color w:val="auto"/>
        </w:rPr>
        <w:t>(Zip Code)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Registered Agent’s Signature, if changing Registered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hereby accept the appointment as registered agent.  I am familiar with and accept the obligations of the position.</w:t>
      </w:r>
    </w:p>
    <w:p>
      <w:pPr>
        <w:spacing w:after="0" w:line="3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Signature of New Registered Agent, if changing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 amending the Officers and/or Directors, enter the title and name of each officer/director being removed and title, name, and address of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Officer and/or Director being added:</w:t>
      </w:r>
    </w:p>
    <w:p>
      <w:pPr>
        <w:sectPr>
          <w:pgSz w:w="11900" w:h="16838" w:orient="portrait"/>
          <w:cols w:equalWidth="0" w:num="1">
            <w:col w:w="11420"/>
          </w:cols>
          <w:pgMar w:left="240" w:top="617"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 additional sheets, if necessary)</w:t>
      </w:r>
    </w:p>
    <w:p>
      <w:pPr>
        <w:spacing w:after="0" w:line="385" w:lineRule="exact"/>
        <w:rPr>
          <w:sz w:val="20"/>
          <w:szCs w:val="20"/>
          <w:color w:val="auto"/>
        </w:rPr>
      </w:pPr>
    </w:p>
    <w:p>
      <w:pPr>
        <w:ind w:left="40"/>
        <w:spacing w:after="0"/>
        <w:tabs>
          <w:tab w:leader="none" w:pos="2880" w:val="left"/>
          <w:tab w:leader="none" w:pos="5720" w:val="left"/>
          <w:tab w:leader="none" w:pos="858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7"/>
          <w:szCs w:val="17"/>
          <w:b w:val="1"/>
          <w:bCs w:val="1"/>
          <w:color w:val="auto"/>
        </w:rPr>
        <w:t>Type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768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5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43180</wp:posOffset>
            </wp:positionV>
            <wp:extent cx="1449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8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768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5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43180</wp:posOffset>
            </wp:positionV>
            <wp:extent cx="1449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81"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768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57"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248920</wp:posOffset>
            </wp:positionV>
            <wp:extent cx="1449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449070" cy="171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43180</wp:posOffset>
            </wp:positionV>
            <wp:extent cx="1449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 amending or adding additional Articles, enter change(s) here</w:t>
      </w:r>
      <w:r>
        <w:rPr>
          <w:rFonts w:ascii="Times New Roman" w:cs="Times New Roman" w:eastAsia="Times New Roman" w:hAnsi="Times New Roman"/>
          <w:sz w:val="18"/>
          <w:szCs w:val="18"/>
          <w:u w:val="single" w:color="auto"/>
          <w:color w:val="auto"/>
        </w:rPr>
        <w:t>:</w:t>
      </w:r>
    </w:p>
    <w:p>
      <w:pPr>
        <w:spacing w:after="0" w:line="31" w:lineRule="exact"/>
        <w:rPr>
          <w:sz w:val="20"/>
          <w:szCs w:val="20"/>
          <w:color w:val="auto"/>
        </w:rPr>
      </w:pPr>
    </w:p>
    <w:p>
      <w:pPr>
        <w:ind w:left="340"/>
        <w:spacing w:after="0"/>
        <w:tabs>
          <w:tab w:leader="none" w:pos="3360" w:val="left"/>
        </w:tabs>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ttach additional sheets, if necessary).</w:t>
      </w:r>
      <w:r>
        <w:rPr>
          <w:sz w:val="20"/>
          <w:szCs w:val="20"/>
          <w:color w:val="auto"/>
        </w:rPr>
        <w:tab/>
      </w:r>
      <w:r>
        <w:rPr>
          <w:rFonts w:ascii="Times New Roman" w:cs="Times New Roman" w:eastAsia="Times New Roman" w:hAnsi="Times New Roman"/>
          <w:sz w:val="17"/>
          <w:szCs w:val="17"/>
          <w:i w:val="1"/>
          <w:iCs w:val="1"/>
          <w:color w:val="auto"/>
        </w:rPr>
        <w:t>(Be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If an amendment provides for an exchange, reclassification, or cancellation of issued shares, provisions for implementing the amendment if not contained in the amendment itself:</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not applicable, indicate N/A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date of each amendment(s) adoption: </w:t>
      </w:r>
      <w:r>
        <w:rPr>
          <w:rFonts w:ascii="Times New Roman" w:cs="Times New Roman" w:eastAsia="Times New Roman" w:hAnsi="Times New Roman"/>
          <w:sz w:val="18"/>
          <w:szCs w:val="18"/>
          <w:color w:val="auto"/>
        </w:rPr>
        <w:t>July 29, 2010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Effective date if applicable: </w:t>
      </w:r>
      <w:r>
        <w:rPr>
          <w:rFonts w:ascii="Times New Roman" w:cs="Times New Roman" w:eastAsia="Times New Roman" w:hAnsi="Times New Roman"/>
          <w:sz w:val="18"/>
          <w:szCs w:val="18"/>
          <w:color w:val="auto"/>
        </w:rPr>
        <w:t>December 28, 2010</w:t>
      </w:r>
    </w:p>
    <w:p>
      <w:pPr>
        <w:spacing w:after="0" w:line="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i w:val="1"/>
          <w:iCs w:val="1"/>
          <w:color w:val="auto"/>
        </w:rPr>
        <w:t>(no more than 90 days after amendment file date)</w:t>
      </w:r>
    </w:p>
    <w:p>
      <w:pPr>
        <w:spacing w:after="0" w:line="203"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Adoption of Amendment(s)</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CHECK ONE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 The amendment(s) was/were adopted by the shareholders. The number of votes cast for the amendment(s) by the shareholders was/were sufficient for approval.</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o The amendment(s) was/were approved by the shareholders through voting groups. </w:t>
      </w:r>
      <w:r>
        <w:rPr>
          <w:rFonts w:ascii="Times New Roman" w:cs="Times New Roman" w:eastAsia="Times New Roman" w:hAnsi="Times New Roman"/>
          <w:sz w:val="18"/>
          <w:szCs w:val="18"/>
          <w:i w:val="1"/>
          <w:iCs w:val="1"/>
          <w:color w:val="auto"/>
        </w:rPr>
        <w:t>The following statement must be separately provided for each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entitled to vote separately on the amendment(s):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votes cast for the amendment(s) was/were sufficient for approval</w:t>
      </w:r>
    </w:p>
    <w:p>
      <w:pPr>
        <w:sectPr>
          <w:pgSz w:w="11900" w:h="16838" w:orient="portrait"/>
          <w:cols w:equalWidth="0" w:num="1">
            <w:col w:w="11100"/>
          </w:cols>
          <w:pgMar w:left="240" w:top="362" w:right="559" w:bottom="1440" w:gutter="0" w:footer="0" w:header="0"/>
        </w:sectPr>
      </w:pPr>
    </w:p>
    <w:bookmarkStart w:id="93" w:name="page94"/>
    <w:bookmarkEnd w:id="93"/>
    <w:p>
      <w:pPr>
        <w:ind w:left="500"/>
        <w:spacing w:after="0"/>
        <w:tabs>
          <w:tab w:leader="none" w:pos="5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34290</wp:posOffset>
            </wp:positionV>
            <wp:extent cx="26073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5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i w:val="1"/>
          <w:iCs w:val="1"/>
          <w:color w:val="auto"/>
        </w:rPr>
        <w:t>(voting group)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The amendment(s) was/were adopted by the board of directors without shareholder action and shareholder action was not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The amendment(s) was/were adopted by the incorporators without shareholder action and shareholder action was not required.</w:t>
      </w:r>
    </w:p>
    <w:p>
      <w:pPr>
        <w:spacing w:after="0" w:line="3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Dated: December 28, 2010</w:t>
      </w:r>
    </w:p>
    <w:p>
      <w:pPr>
        <w:spacing w:after="0" w:line="200" w:lineRule="exact"/>
        <w:rPr>
          <w:sz w:val="20"/>
          <w:szCs w:val="20"/>
          <w:color w:val="auto"/>
        </w:rPr>
      </w:pPr>
    </w:p>
    <w:p>
      <w:pPr>
        <w:spacing w:after="0" w:line="214" w:lineRule="exact"/>
        <w:rPr>
          <w:sz w:val="20"/>
          <w:szCs w:val="20"/>
          <w:color w:val="auto"/>
        </w:rPr>
      </w:pPr>
    </w:p>
    <w:p>
      <w:pPr>
        <w:ind w:left="1080"/>
        <w:spacing w:after="0"/>
        <w:tabs>
          <w:tab w:leader="none" w:pos="25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34290</wp:posOffset>
            </wp:positionV>
            <wp:extent cx="56426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642610" cy="17145"/>
                    </a:xfrm>
                    <a:prstGeom prst="rect">
                      <a:avLst/>
                    </a:prstGeom>
                    <a:noFill/>
                  </pic:spPr>
                </pic:pic>
              </a:graphicData>
            </a:graphic>
          </wp:anchor>
        </w:drawing>
      </w:r>
    </w:p>
    <w:p>
      <w:pPr>
        <w:spacing w:after="0" w:line="70" w:lineRule="exact"/>
        <w:rPr>
          <w:sz w:val="20"/>
          <w:szCs w:val="20"/>
          <w:color w:val="auto"/>
        </w:rPr>
      </w:pPr>
    </w:p>
    <w:p>
      <w:pPr>
        <w:ind w:left="2560"/>
        <w:spacing w:after="0" w:line="282" w:lineRule="auto"/>
        <w:rPr>
          <w:sz w:val="20"/>
          <w:szCs w:val="20"/>
          <w:color w:val="auto"/>
        </w:rPr>
      </w:pPr>
      <w:r>
        <w:rPr>
          <w:rFonts w:ascii="Times New Roman" w:cs="Times New Roman" w:eastAsia="Times New Roman" w:hAnsi="Times New Roman"/>
          <w:sz w:val="18"/>
          <w:szCs w:val="18"/>
          <w:color w:val="auto"/>
        </w:rPr>
        <w:t>(By a director, president or other officer – if directors or officers have not been selected, by an incorporator – if in the hands of a receiver, trustee, or other court appointed fiduciary by that fiduciary)</w:t>
      </w:r>
    </w:p>
    <w:p>
      <w:pPr>
        <w:spacing w:after="0" w:line="29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Ronald M. Faris</w:t>
      </w:r>
    </w:p>
    <w:p>
      <w:pPr>
        <w:spacing w:after="0" w:line="6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(Typed or printed name of person signing)</w:t>
      </w:r>
    </w:p>
    <w:p>
      <w:pPr>
        <w:spacing w:after="0" w:line="36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6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(Title of person signing)</w:t>
      </w:r>
    </w:p>
    <w:p>
      <w:pPr>
        <w:sectPr>
          <w:pgSz w:w="11900" w:h="16838" w:orient="portrait"/>
          <w:cols w:equalWidth="0" w:num="1">
            <w:col w:w="11020"/>
          </w:cols>
          <w:pgMar w:left="240" w:top="958" w:right="639" w:bottom="1440" w:gutter="0" w:footer="0" w:header="0"/>
        </w:sectPr>
      </w:pPr>
    </w:p>
    <w:bookmarkStart w:id="94" w:name="page95"/>
    <w:bookmarkEnd w:id="9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ARTICLES OF CORRECTION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Number (if known): S75556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provisions of Section 607.0124 or 617.0124, Florida Statutes, this corporation files these Articles of Correction within 30 days of the file date of the document being corrected.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articles of correction correct the Articles of Amendment to Articles of Incorporation, filed with the Department of State on December 28, 2010.</w:t>
      </w:r>
    </w:p>
    <w:p>
      <w:pPr>
        <w:spacing w:after="0" w:line="225" w:lineRule="exact"/>
        <w:rPr>
          <w:sz w:val="20"/>
          <w:szCs w:val="20"/>
          <w:color w:val="auto"/>
        </w:rPr>
      </w:pPr>
    </w:p>
    <w:p>
      <w:pPr>
        <w:ind w:right="1160"/>
        <w:spacing w:after="0" w:line="282" w:lineRule="auto"/>
        <w:rPr>
          <w:sz w:val="20"/>
          <w:szCs w:val="20"/>
          <w:color w:val="auto"/>
        </w:rPr>
      </w:pPr>
      <w:r>
        <w:rPr>
          <w:rFonts w:ascii="Times New Roman" w:cs="Times New Roman" w:eastAsia="Times New Roman" w:hAnsi="Times New Roman"/>
          <w:sz w:val="18"/>
          <w:szCs w:val="18"/>
          <w:color w:val="auto"/>
        </w:rPr>
        <w:t>Specify the inaccuracy, incorrect statement, or defect: The effective date of the Articles of Amendment to Articles of Incorporation of Ocwen Financial Corporation was incorrectly stated as December 28, 2010.</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Correct the inaccuracy, incorrect statement, or defect: The effective date of the Articles of Amendment to Articles of Incorporation of Ocwen Financial Corporation is January 1, 2011.</w:t>
      </w:r>
    </w:p>
    <w:p>
      <w:pPr>
        <w:spacing w:after="0" w:line="3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Kristen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36830</wp:posOffset>
            </wp:positionV>
            <wp:extent cx="30441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044190" cy="17145"/>
                    </a:xfrm>
                    <a:prstGeom prst="rect">
                      <a:avLst/>
                    </a:prstGeom>
                    <a:noFill/>
                  </pic:spPr>
                </pic:pic>
              </a:graphicData>
            </a:graphic>
          </wp:anchor>
        </w:drawing>
      </w:r>
    </w:p>
    <w:p>
      <w:pPr>
        <w:spacing w:after="0" w:line="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(Signature of a director, president or other officer – if directors or</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officers have not been selected, by an incorporator - if in the</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hands of the receiver, trustee, or other court appointed fiduciary,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that fiduciary.)</w:t>
      </w:r>
    </w:p>
    <w:p>
      <w:pPr>
        <w:spacing w:after="0" w:line="34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Kristen Wagner</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(Typed or printed name of person signing)</w:t>
      </w: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(Title of person signing)</w:t>
      </w:r>
    </w:p>
    <w:p>
      <w:pPr>
        <w:sectPr>
          <w:pgSz w:w="11900" w:h="16838" w:orient="portrait"/>
          <w:cols w:equalWidth="0" w:num="1">
            <w:col w:w="11340"/>
          </w:cols>
          <w:pgMar w:left="240" w:top="576"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ARTICLES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DESIGNATION, PREFERENCES, AND RIGHTS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PERPETUAL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607.0602 and 607.1006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Ocwen Financial Corporation,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certifies that pursuant to the authority contained in its Amended and Restated Articles of Incorporation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and in accordance with the provisions of Sections 607.0602 and 607.1006 of the Florida Business Corporation Act,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at a meeting duly called and held on October 2, 2012 duly approved and adopted the following resolution, which resolution remains in full force and effect on the date hereof:</w:t>
      </w:r>
    </w:p>
    <w:p>
      <w:pPr>
        <w:spacing w:after="0" w:line="126"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by the Articles of Incorporation, the Board of Directors does hereby designate, create, authorize and provide for the issue of a series of preferred stock having a par value of $0.01 per share, with a liquidation preference of $1,000 per share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which shall be designated as Series A Perpetual Convertible Preferred Stock, consisting of Two Hundred Thousand (200,000) shares having the following voting powers, preferences and relative, participating, optional and other special rights, and qualifications, limitations and restrictions:</w:t>
      </w:r>
    </w:p>
    <w:p>
      <w:pPr>
        <w:spacing w:after="0" w:line="130" w:lineRule="exact"/>
        <w:rPr>
          <w:sz w:val="20"/>
          <w:szCs w:val="20"/>
          <w:color w:val="auto"/>
        </w:rPr>
      </w:pPr>
    </w:p>
    <w:p>
      <w:pPr>
        <w:jc w:val="both"/>
        <w:ind w:firstLine="454"/>
        <w:spacing w:after="0" w:line="261" w:lineRule="auto"/>
        <w:tabs>
          <w:tab w:leader="none" w:pos="6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 series of preferred stock shall be designated as “Series A Perpetual Convertible Preferred Stock”, with a par value of $0.01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and the number of shares so authorized and designated shall be Two Hundred Thousand (200,000). At all times the Company will have sufficient shares authorized and will take all actions necessary to authorize additional shares if required, in each case, to meet its obligations hereunder.</w:t>
      </w:r>
    </w:p>
    <w:p>
      <w:pPr>
        <w:spacing w:after="0" w:line="126" w:lineRule="exact"/>
        <w:rPr>
          <w:rFonts w:ascii="Times New Roman" w:cs="Times New Roman" w:eastAsia="Times New Roman" w:hAnsi="Times New Roman"/>
          <w:sz w:val="18"/>
          <w:szCs w:val="18"/>
          <w:color w:val="auto"/>
        </w:rPr>
      </w:pPr>
    </w:p>
    <w:p>
      <w:pPr>
        <w:jc w:val="both"/>
        <w:ind w:firstLine="454"/>
        <w:spacing w:after="0" w:line="253" w:lineRule="auto"/>
        <w:tabs>
          <w:tab w:leader="none" w:pos="6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Stock shall, with respect to payment of dividends, redemption and distributions upon the liquidation, winding-up and dissolution of the Company, rank (i) senior to all classes of Common Stock of the Company and to each other class of capital stock or series of preferred stock established after the date hereof by the Board of Directors, the terms of which do not expressly provide that it ranks senior to or on a parity with the Series A Preferred Stock as to dividends, redemptions and distributions upon the liquidation, winding-up and dissolution of the Company (collectively referred to with the Common Stock of the Company as “</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(ii) on a parity with any additional shares of Series A Preferred Stock issued by the Company in the future (subject to compliance with Section 8) and any other class of capital stock or series of preferred stock issued by the Company, the terms of which expressly provide that such class or series will rank on a parity with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and (iii) junior to each class of capital stock or series of preferred stock issued by the Company (subject to compliance with Section 8), the terms of which expressly provide that such class or series will rank senior to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 For the avoidance of doubt, a security shall not be deemed a Parity Security unless the dividend is payable in kind when the dividend of the Series A Preferred</w:t>
      </w:r>
    </w:p>
    <w:p>
      <w:pPr>
        <w:sectPr>
          <w:pgSz w:w="11900" w:h="16838" w:orient="portrait"/>
          <w:cols w:equalWidth="0" w:num="1">
            <w:col w:w="11420"/>
          </w:cols>
          <w:pgMar w:left="240" w:top="904" w:right="239" w:bottom="1440" w:gutter="0" w:footer="0" w:header="0"/>
        </w:sectPr>
      </w:pPr>
    </w:p>
    <w:bookmarkStart w:id="96" w:name="page97"/>
    <w:bookmarkEnd w:id="96"/>
    <w:p>
      <w:pPr>
        <w:spacing w:after="0" w:line="282" w:lineRule="auto"/>
        <w:rPr>
          <w:sz w:val="20"/>
          <w:szCs w:val="20"/>
          <w:color w:val="auto"/>
        </w:rPr>
      </w:pPr>
      <w:r>
        <w:rPr>
          <w:rFonts w:ascii="Times New Roman" w:cs="Times New Roman" w:eastAsia="Times New Roman" w:hAnsi="Times New Roman"/>
          <w:sz w:val="18"/>
          <w:szCs w:val="18"/>
          <w:color w:val="auto"/>
        </w:rPr>
        <w:t>Stock is paid in kind, and a security shall not be deemed not to be a Parity Security solely because the dividend on such security has a coupon equal to or greater than the Series A Preferred Stock.</w:t>
      </w:r>
    </w:p>
    <w:p>
      <w:pPr>
        <w:spacing w:after="0" w:line="108" w:lineRule="exact"/>
        <w:rPr>
          <w:sz w:val="20"/>
          <w:szCs w:val="20"/>
          <w:color w:val="auto"/>
        </w:rPr>
      </w:pPr>
    </w:p>
    <w:p>
      <w:pPr>
        <w:ind w:left="640" w:hanging="186"/>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54"/>
        <w:spacing w:after="0" w:line="253" w:lineRule="auto"/>
        <w:tabs>
          <w:tab w:leader="none" w:pos="71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Holders of Series A Preferred Stock shall be entitled to receive, to the fullest extent permitted by law, mandatory and cumulative dividends payable quarterly in arrears with respect to each dividend period ending on and including the last calendar day of each quarter ending December 31, March 31, June 30 and September 30, respectively (each such period,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and each such date, a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xml:space="preserve">”), at the rate per share equal to the greater of (x) 3.75% per annum multiplied by the Liquidation Preference and (y) in the event the Company pays a regular quarterly dividend on its Common Stock in such quarter, the rate per share payable in respect of such quarterly dividend (treating each holder of shares of Series A Preferred Stock as being the holder of the number of shares of Common Stock into which such holder’s shares would be converted if such shares were converted pursuant to the provisions of Section 5 hereof as of the record date for the determination of holders of Common Stock entitled to receive such dividend);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initial Dividend Period will commence on the Series A Preferred Stock Issue Date and end on the second Dividend Payment Date thereafter. The record date for payment of quarterly dividends on the Series A Preferred Stock will be the 15th day of the calendar month of the applicable Dividend Payment Date, whether or not such date is a Trading Day. If any Dividend Payment Date is not a Trading Day, the applicable payment shall be due on the next succeeding Trading Day.</w:t>
      </w:r>
    </w:p>
    <w:p>
      <w:pPr>
        <w:spacing w:after="0" w:line="57" w:lineRule="exact"/>
        <w:rPr>
          <w:rFonts w:ascii="Times New Roman" w:cs="Times New Roman" w:eastAsia="Times New Roman" w:hAnsi="Times New Roman"/>
          <w:sz w:val="18"/>
          <w:szCs w:val="18"/>
          <w:color w:val="auto"/>
        </w:rPr>
      </w:pPr>
    </w:p>
    <w:p>
      <w:pPr>
        <w:jc w:val="both"/>
        <w:ind w:firstLine="454"/>
        <w:spacing w:after="0" w:line="254" w:lineRule="auto"/>
        <w:tabs>
          <w:tab w:leader="none" w:pos="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Dividends</w:t>
      </w:r>
      <w:r>
        <w:rPr>
          <w:rFonts w:ascii="Times New Roman" w:cs="Times New Roman" w:eastAsia="Times New Roman" w:hAnsi="Times New Roman"/>
          <w:sz w:val="18"/>
          <w:szCs w:val="18"/>
          <w:color w:val="auto"/>
        </w:rPr>
        <w:t>. If and to the extent the Company intends to pay any dividend or make a distribution on shares of Common Stock (whether or not in the form of cash, but excluding any dividend which results in an adjustment to the Conversion Price as described below) other than a dividend as provided in 3(a) above (a “</w:t>
      </w:r>
      <w:r>
        <w:rPr>
          <w:rFonts w:ascii="Times New Roman" w:cs="Times New Roman" w:eastAsia="Times New Roman" w:hAnsi="Times New Roman"/>
          <w:sz w:val="18"/>
          <w:szCs w:val="18"/>
          <w:u w:val="single" w:color="auto"/>
          <w:color w:val="auto"/>
        </w:rPr>
        <w:t>Special Dividend</w:t>
      </w:r>
      <w:r>
        <w:rPr>
          <w:rFonts w:ascii="Times New Roman" w:cs="Times New Roman" w:eastAsia="Times New Roman" w:hAnsi="Times New Roman"/>
          <w:sz w:val="18"/>
          <w:szCs w:val="18"/>
          <w:color w:val="auto"/>
        </w:rPr>
        <w:t xml:space="preserve">”), then any such dividend shall be payable to the holders of shares of Common Stock and Series A Preferred Stock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pro rata basis (treating each holder of shares of Series A Preferred Stock as being the holder of the number of shares of Common Stock into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shares of Series A Preferred Stock had been converted if such shares were converted pursuant to the provisions of Section 5 hereof as of the record date for the determination of holders of Common Stock entitled to receive such dividend). The record date for payment of any Special Dividend will be the same date as the record date for payment of the Special Dividend to holders of Common Stock, whether or not such date is a Trading Day. The payment date of any Special Dividend will be the same date on which payment of such dividend is made to holders of Common Stock (“</w:t>
      </w:r>
      <w:r>
        <w:rPr>
          <w:rFonts w:ascii="Times New Roman" w:cs="Times New Roman" w:eastAsia="Times New Roman" w:hAnsi="Times New Roman"/>
          <w:sz w:val="18"/>
          <w:szCs w:val="18"/>
          <w:u w:val="single" w:color="auto"/>
          <w:color w:val="auto"/>
        </w:rPr>
        <w:t>Special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454"/>
        <w:spacing w:after="0" w:line="254" w:lineRule="auto"/>
        <w:tabs>
          <w:tab w:leader="none" w:pos="6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Ability to Pay Dividends in Cash or Kind</w:t>
      </w:r>
      <w:r>
        <w:rPr>
          <w:rFonts w:ascii="Times New Roman" w:cs="Times New Roman" w:eastAsia="Times New Roman" w:hAnsi="Times New Roman"/>
          <w:sz w:val="18"/>
          <w:szCs w:val="18"/>
          <w:color w:val="auto"/>
        </w:rPr>
        <w:t>. Dividends shall be paid in full, in cash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for each Dividend Period on the applicable Dividend Payment Date; provided, that at the Company’s option, the Company may pay all or any percentage of the dividends contemplated by paragraphs (a) and (b) above in cash or additional shares of Series A Preferred Stock (“</w:t>
      </w:r>
      <w:r>
        <w:rPr>
          <w:rFonts w:ascii="Times New Roman" w:cs="Times New Roman" w:eastAsia="Times New Roman" w:hAnsi="Times New Roman"/>
          <w:sz w:val="18"/>
          <w:szCs w:val="18"/>
          <w:u w:val="single" w:color="auto"/>
          <w:color w:val="auto"/>
        </w:rPr>
        <w:t>PIK Dividends</w:t>
      </w:r>
      <w:r>
        <w:rPr>
          <w:rFonts w:ascii="Times New Roman" w:cs="Times New Roman" w:eastAsia="Times New Roman" w:hAnsi="Times New Roman"/>
          <w:sz w:val="18"/>
          <w:szCs w:val="18"/>
          <w:color w:val="auto"/>
        </w:rPr>
        <w:t>”). The Company shall provide the holders with at least five (5) Trading Days’ notice of its election to pay all or any percentage of such dividend in shares of Series A Preferred Stock (the Company may indicate in such notice that the election contained in such notice shall continue for later periods until revised by a subsequent notice). If and to the extent that the Company does not for any reason pay the entire dividend payable for a particular Dividend Period either as a Cash Dividend, or a combination of Cash Dividend and PIK Dividend, on the applicable Dividend Payment Date for such period (whether or not the payment of dividends is permitted under applicable law or such dividends are declared by the Board of Directors of the Company), such unpaid dividends shall be paid in kind by issuance of additional Series A Preferred Stock (the “</w:t>
      </w:r>
      <w:r>
        <w:rPr>
          <w:rFonts w:ascii="Times New Roman" w:cs="Times New Roman" w:eastAsia="Times New Roman" w:hAnsi="Times New Roman"/>
          <w:sz w:val="18"/>
          <w:szCs w:val="18"/>
          <w:u w:val="single" w:color="auto"/>
          <w:color w:val="auto"/>
        </w:rPr>
        <w:t>Additional PIK Dividends</w:t>
      </w:r>
      <w:r>
        <w:rPr>
          <w:rFonts w:ascii="Times New Roman" w:cs="Times New Roman" w:eastAsia="Times New Roman" w:hAnsi="Times New Roman"/>
          <w:sz w:val="18"/>
          <w:szCs w:val="18"/>
          <w:color w:val="auto"/>
        </w:rPr>
        <w:t>”) to the holders of the Series A Preferred Stock as of the record date for the applicable Dividend Payment Date, on the first date on which such Additional PIK Dividend can be paid in accordance with applicable law.</w:t>
      </w:r>
    </w:p>
    <w:p>
      <w:pPr>
        <w:spacing w:after="0" w:line="51"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Calculations</w:t>
      </w:r>
      <w:r>
        <w:rPr>
          <w:rFonts w:ascii="Times New Roman" w:cs="Times New Roman" w:eastAsia="Times New Roman" w:hAnsi="Times New Roman"/>
          <w:sz w:val="18"/>
          <w:szCs w:val="18"/>
          <w:color w:val="auto"/>
        </w:rPr>
        <w:t>. Dividends on the Series A Preferred Stock shall be calculated on the basis of a 360-day year, consisting of twelve (12), thirty</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3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 periods, and shall accrue daily commencing on the Series A Preferred Stock Issue Date, and shall be deemed to accrue from such date whether or not earned or declared and whether or not there are profits, surplus or other funds of the Company legally available for the payment of dividends. Except as otherwise provided herein, if at any time the Company pays dividends partially in cash and partially in shares of Series A Preferred Stock, then such payment shall be distributed ratably among the holders of Series A Preferred Stock based upon the number of shares of Series A Preferred Stock held by each such holder on such Dividend Payment Date or Special Dividend Payment Date, as applicable. When a dividend or part thereof is paid in additional shares of Series A Preferred Stock, such number of additional shares shall be calculated by dividing the amount of such dividend or part thereof that would otherwise be paid in cash by the Liquidation Preference of a share of Series A Preferred</w:t>
      </w:r>
    </w:p>
    <w:p>
      <w:pPr>
        <w:sectPr>
          <w:pgSz w:w="11900" w:h="16838" w:orient="portrait"/>
          <w:cols w:equalWidth="0" w:num="1">
            <w:col w:w="11420"/>
          </w:cols>
          <w:pgMar w:left="240" w:top="526" w:right="239" w:bottom="1440" w:gutter="0" w:footer="0" w:header="0"/>
        </w:sectPr>
      </w:pPr>
    </w:p>
    <w:bookmarkStart w:id="97" w:name="page98"/>
    <w:bookmarkEnd w:id="97"/>
    <w:p>
      <w:pPr>
        <w:spacing w:after="0" w:line="282" w:lineRule="auto"/>
        <w:rPr>
          <w:sz w:val="20"/>
          <w:szCs w:val="20"/>
          <w:color w:val="auto"/>
        </w:rPr>
      </w:pPr>
      <w:r>
        <w:rPr>
          <w:rFonts w:ascii="Times New Roman" w:cs="Times New Roman" w:eastAsia="Times New Roman" w:hAnsi="Times New Roman"/>
          <w:sz w:val="18"/>
          <w:szCs w:val="18"/>
          <w:color w:val="auto"/>
        </w:rPr>
        <w:t>Stock. For purposes of determining whether funds are legally available for any dividends pursuant to this Section 3, the assets of the Company shall, to the fullest extent permitted by law, be valued at the highest amount permissible under applicable law.</w:t>
      </w:r>
    </w:p>
    <w:p>
      <w:pPr>
        <w:spacing w:after="0" w:line="27" w:lineRule="exact"/>
        <w:rPr>
          <w:sz w:val="20"/>
          <w:szCs w:val="20"/>
          <w:color w:val="auto"/>
        </w:rPr>
      </w:pPr>
    </w:p>
    <w:p>
      <w:pPr>
        <w:jc w:val="both"/>
        <w:ind w:firstLine="454"/>
        <w:spacing w:after="0" w:line="256" w:lineRule="auto"/>
        <w:tabs>
          <w:tab w:leader="none" w:pos="6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Prior to or Following a Record Date</w:t>
      </w:r>
      <w:r>
        <w:rPr>
          <w:rFonts w:ascii="Times New Roman" w:cs="Times New Roman" w:eastAsia="Times New Roman" w:hAnsi="Times New Roman"/>
          <w:sz w:val="18"/>
          <w:szCs w:val="18"/>
          <w:color w:val="auto"/>
        </w:rPr>
        <w:t>. If the Conversion Date for any shares of Series A Preferred Stock is prior to the close of business on the record date for a dividend as provided in paragraphs (a) or (b) above, the holder of such shares shall not be entitled to any dividend in respect of such record date. If the Conversion Date for any shares of Series A Preferred Stock is after the close of business on the record date for a dividend as provided in paragraphs (a) or (b) above but prior to the corresponding Dividend Payment Date or Special Dividend Payment Date, as applicable, the holder of such shares as of the applicable record date shall be entitled to receive such dividend, notwithstanding the conversion of such shares prior to the applicable Dividend Payment Date or Special Dividend Payment Date, as applicable.</w:t>
      </w:r>
    </w:p>
    <w:p>
      <w:pPr>
        <w:spacing w:after="0" w:line="188" w:lineRule="exact"/>
        <w:rPr>
          <w:sz w:val="20"/>
          <w:szCs w:val="20"/>
          <w:color w:val="auto"/>
        </w:rPr>
      </w:pPr>
    </w:p>
    <w:p>
      <w:pPr>
        <w:ind w:firstLine="454"/>
        <w:spacing w:after="0" w:line="282" w:lineRule="auto"/>
        <w:tabs>
          <w:tab w:leader="none" w:pos="6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The holders of shares of Series A Preferred Stock shall only be permitted to Transfer such shares of Series A Preferred Stock to a Permitted Transferee.</w:t>
      </w:r>
    </w:p>
    <w:p>
      <w:pPr>
        <w:spacing w:after="0" w:line="107" w:lineRule="exact"/>
        <w:rPr>
          <w:rFonts w:ascii="Times New Roman" w:cs="Times New Roman" w:eastAsia="Times New Roman" w:hAnsi="Times New Roman"/>
          <w:sz w:val="18"/>
          <w:szCs w:val="18"/>
          <w:color w:val="auto"/>
        </w:rPr>
      </w:pPr>
    </w:p>
    <w:p>
      <w:pPr>
        <w:ind w:left="640" w:hanging="18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54"/>
        <w:spacing w:after="0" w:line="255" w:lineRule="auto"/>
        <w:tabs>
          <w:tab w:leader="none" w:pos="69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each share of Series A Preferred Stock may be converted into Common Stock at any time, unless previously redeemed (the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Upon exercise of the Conversion Right as provided in this Section 5, the Company shall deliver to the holder the number of shares of Common Stock equal to the quotient obtained by dividing (i) the value of a share of Series A Preferred Stock, which shall be the Liquidation Preference (plus any accrued but unpaid dividends thereon, whether or not declared) on the Conversion Date, by (ii) the Conversion Price in effect on the Conversion Date to determine the number of shares of Common Stock issuable upon conversion of each share of Series A Preferred Stock. Immediately following such conversion, the rights of the holders of converted Series A Preferred Stock shall cease and the persons entitled to receive the Common Stock upon the conversion of Series A Preferred Stock shall be treated for all purposes as having become the owners of such Common Stock.</w:t>
      </w:r>
    </w:p>
    <w:p>
      <w:pPr>
        <w:spacing w:after="0" w:line="54" w:lineRule="exact"/>
        <w:rPr>
          <w:rFonts w:ascii="Times New Roman" w:cs="Times New Roman" w:eastAsia="Times New Roman" w:hAnsi="Times New Roman"/>
          <w:sz w:val="18"/>
          <w:szCs w:val="18"/>
          <w:color w:val="auto"/>
        </w:rPr>
      </w:pPr>
    </w:p>
    <w:p>
      <w:pPr>
        <w:jc w:val="both"/>
        <w:ind w:firstLine="454"/>
        <w:spacing w:after="0" w:line="261" w:lineRule="auto"/>
        <w:tabs>
          <w:tab w:leader="none" w:pos="70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convert Series A Preferred Stock, a holder must (A) surrender the certificate or certificates evidencing the shares of Series A Preferred Stock to be converted, duly endorsed in a form satisfactory to the Company, at the office of the Company or Transfer Agent for the Series A Preferred Stock,</w:t>
      </w:r>
    </w:p>
    <w:p>
      <w:pPr>
        <w:jc w:val="both"/>
        <w:ind w:firstLine="8"/>
        <w:spacing w:after="0" w:line="251" w:lineRule="auto"/>
        <w:tabs>
          <w:tab w:leader="none" w:pos="2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Company at such office that he elects to convert Series A Preferred Stock and the number of shares he wishes to convert, (C) state in writing the name or names in which he wishes the certificate or certificates for shares of Common Stock to be issued, and (D) pay any transfer or similar tax required by clause (d) below to be paid by the holder. In the event that a holder fails to notify the Company of the number of shares of Series A Preferred Stock which he wishes to convert, he shall be deemed to have elected to convert all shares represented by the certificate or certificates surrendered for conversion. The date on which the holder satisfies all those requirements is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As soon as practical following the Conversion Date, the Company shall deliver a certificate for the number of full shares of Common Stock issuable upon the conversion, and a new certificate representing the unconverted portion, if any, of the shares of Series A Preferred Stock represented by the certificate or certificates surrendered for conversion. The person in whose name the Common Stock certificate is registered shall be treated as the stockholder of record on and after the Conversion Date. The holder of record of a share of Series A Preferred Stock at the close of business on a record date with respect to the payment of dividends on the Series A Preferred Stock in accordance with Section 3 hereof will be entitled to receive such dividends with respect to such share of Series A Preferred Stock on the corresponding Dividend Payment Date, notwithstanding the conversion of such share after such record date and prior to such dividend payment date. If a holder of Series A Preferred Stock converts more than one share at a time, the number of full shares of Common Stock issuable upon conversion shall be based on the total Liquidation Preferences of all shares of Series A Preferred Stock converted.</w:t>
      </w:r>
    </w:p>
    <w:p>
      <w:pPr>
        <w:spacing w:after="0" w:line="192" w:lineRule="exact"/>
        <w:rPr>
          <w:rFonts w:ascii="Times New Roman" w:cs="Times New Roman" w:eastAsia="Times New Roman" w:hAnsi="Times New Roman"/>
          <w:sz w:val="18"/>
          <w:szCs w:val="18"/>
          <w:color w:val="auto"/>
        </w:rPr>
      </w:pPr>
    </w:p>
    <w:p>
      <w:pPr>
        <w:jc w:val="both"/>
        <w:ind w:firstLine="454"/>
        <w:spacing w:after="0" w:line="266" w:lineRule="auto"/>
        <w:tabs>
          <w:tab w:leader="none" w:pos="6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shares of Common Stock upon conversion of Series A Preferred Stock. Instead the Company shall pay a cash adjustment based upon the closing price of the Common Stock on the principal securities exchange on which the Common Stock is then listed on the Business Day prior to the Conversion Date.</w:t>
      </w:r>
    </w:p>
    <w:p>
      <w:pPr>
        <w:spacing w:after="0" w:line="41" w:lineRule="exact"/>
        <w:rPr>
          <w:rFonts w:ascii="Times New Roman" w:cs="Times New Roman" w:eastAsia="Times New Roman" w:hAnsi="Times New Roman"/>
          <w:sz w:val="18"/>
          <w:szCs w:val="18"/>
          <w:color w:val="auto"/>
        </w:rPr>
      </w:pPr>
    </w:p>
    <w:p>
      <w:pPr>
        <w:jc w:val="both"/>
        <w:ind w:firstLine="454"/>
        <w:spacing w:after="0" w:line="266" w:lineRule="auto"/>
        <w:tabs>
          <w:tab w:leader="none" w:pos="71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converts shares of Series A Preferred Stock, the Company shall pay any documentary, stamp or similar issue or transfer tax due on the issue of shares of Common Stock upon the conversion. However, the holder shall pay any such tax that is due because the shares are issued in a name other than the holder’s name.</w:t>
      </w:r>
    </w:p>
    <w:p>
      <w:pPr>
        <w:sectPr>
          <w:pgSz w:w="11900" w:h="16838" w:orient="portrait"/>
          <w:cols w:equalWidth="0" w:num="1">
            <w:col w:w="11420"/>
          </w:cols>
          <w:pgMar w:left="240" w:top="445" w:right="239" w:bottom="1440" w:gutter="0" w:footer="0" w:header="0"/>
        </w:sectPr>
      </w:pPr>
    </w:p>
    <w:bookmarkStart w:id="98" w:name="page99"/>
    <w:bookmarkEnd w:id="98"/>
    <w:p>
      <w:pPr>
        <w:jc w:val="both"/>
        <w:ind w:firstLine="454"/>
        <w:spacing w:after="0" w:line="254" w:lineRule="auto"/>
        <w:tabs>
          <w:tab w:leader="none" w:pos="7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reserved (and shall keep available and free from preemptive rights) and shall continue to reserve out of its authorized but unissued Common Stock or its Common Stock held in treasury a sufficient number of shares of Common Stock to permit the conversion of the Series A Preferred Stock in full. All shares of Common Stock that may be issued upon conversion of Series A Preferred Stock shall be fully paid and nonassessable. The Company shall use commercially reasonable efforts to comply with all securities laws regulating the offer and delivery of shares of Common Stock upon conversion of Series A Preferred Stock and shall endeavor to list such shares on each national securities exchange or automated quotation system on which the Common Stock is listed. All shares of Common Stock that are issued upon the exercise of Series A Preferred Stock shall, upon issuance, be validly issued, not subject to any preemptive rights, and, be free from all taxes, liens, security interests, charges, and other encumbrances with respect to the issuance thereof (collectively, “Encumbrances”), other than taxes in respect of any transfer occurring contemporaneously with such issue and Encumbrances created by the holder.</w:t>
      </w:r>
    </w:p>
    <w:p>
      <w:pPr>
        <w:spacing w:after="0" w:line="54" w:lineRule="exact"/>
        <w:rPr>
          <w:rFonts w:ascii="Times New Roman" w:cs="Times New Roman" w:eastAsia="Times New Roman" w:hAnsi="Times New Roman"/>
          <w:sz w:val="18"/>
          <w:szCs w:val="18"/>
          <w:color w:val="auto"/>
        </w:rPr>
      </w:pPr>
    </w:p>
    <w:p>
      <w:pPr>
        <w:jc w:val="both"/>
        <w:ind w:firstLine="454"/>
        <w:spacing w:after="0" w:line="254" w:lineRule="auto"/>
        <w:tabs>
          <w:tab w:leader="none" w:pos="6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pay or make a dividend or other distribution on any outstanding class of capital stock of the Company payable in Common Stock, the Conversion Price in effect at the opening of business on the day following the date fixed for the determination of stockholders entitled to receive such dividend or other distribution shall be reduced by multiplying such Conversion Price by a fraction the numerator of which shall be the number of shares of Common Stock outstanding at the close of business on the date fixed for such determination and the denominator of which shall be the sum of such number of shares outstanding at the close of business on the date fixed for such determination and the total number of shares constituting such dividend or other distribution, such reduction to become effective retroactively to a date immediately following the close of business on the record date for the determination of the holders entitled to such dividends and distributions. For the purposes of this Section 5(f),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54" w:lineRule="exact"/>
        <w:rPr>
          <w:rFonts w:ascii="Times New Roman" w:cs="Times New Roman" w:eastAsia="Times New Roman" w:hAnsi="Times New Roman"/>
          <w:sz w:val="18"/>
          <w:szCs w:val="18"/>
          <w:color w:val="auto"/>
        </w:rPr>
      </w:pPr>
    </w:p>
    <w:p>
      <w:pPr>
        <w:jc w:val="both"/>
        <w:ind w:firstLine="454"/>
        <w:spacing w:after="0" w:line="252" w:lineRule="auto"/>
        <w:tabs>
          <w:tab w:leader="none" w:pos="7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issue or sell Common Stock or Common Stock Equivalents at a price per share less than 95% of the Current Market Price per share of the Common Stock on the date fixed for the determination of stockholders entitled to receive such Common Stock or Common Stock Equivalents (treating the price per share of Common Stock, in the case of the issuance of any Common Stock Equivalent, as equal to (x) the sum of the price for such Common Stock Equivalent plus any additional consideration payable (without regard to any anti dilution adjustments) upon the conversion, exchange or exercise of such Common Stock Equivalent divided by (y) the number of shares of Common Stock initially underlying such Common Stock Equivalent), the Conversion Price in effect at the opening of business on the day following the date fixed for such determination shall be reduced by multiplying such Conversion Price by a fraction (I) the numerator of which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purchase or acquisition would purchase at such Current Market Price (or, in the case of Common Stock Equivalents, the number of shares of Common Stock which the aggregate consideration received by the Company upon the issuance of such Common Stock Equivalents and receivable by the Company upon the conversion, exchange or exercise of such Common Stock Equivalents would purchase at the Current Market Price of one share of Common Stock on the Relevant Date) and (II) the denominator of which shall be the number of shares of Common Stock outstanding at the close of business on the date fixed for such determination plus the number of shares of Common Stock so offered for subscription, purchase or acquisition (or, in the case of Common Stock Equivalents, the maximum number of shares of Common Stock into which such Common Stock Equivalents initially may convert, exchange or be exercised).</w:t>
      </w:r>
    </w:p>
    <w:p>
      <w:pPr>
        <w:spacing w:after="0" w:line="143"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Such reduction shall become effective immediately on the issuance or sale of such Common Stock or Common Stock Equivalents. However, upon the expiration of any Common Stock Equivalent to purchase Common Stock, the issuance of which resulted in an adjustment in the Conversion Price pursuant to this Section 5(g), if any such Common Stock Equivalent shall expire and shall not have been exercised, the Conversion Price shall be recomputed immediately upon such expiration and effective immediately upon such expiration shall be increased to the price it would have been (but reflecting any other adjustments to the Conversion Price made pursuant to the provisions of this Section 5 after the issuance of such Common Stock Equivalents) had the adjustment of the Conversion Price made upon the issuance of such Common Stock Equivalents been made on the basis of offering for subscription or purchase only that number of shares of Common Stock actually purchased upon the exercise of such Common Stock Equivalents. No further adjustment shall be made upon exercise of any Common Stock Equivalent if any adjustment shall be made upon the</w:t>
      </w:r>
    </w:p>
    <w:p>
      <w:pPr>
        <w:sectPr>
          <w:pgSz w:w="11900" w:h="16838" w:orient="portrait"/>
          <w:cols w:equalWidth="0" w:num="1">
            <w:col w:w="11420"/>
          </w:cols>
          <w:pgMar w:left="240" w:top="445" w:right="239" w:bottom="1440"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18"/>
          <w:szCs w:val="18"/>
          <w:color w:val="auto"/>
        </w:rPr>
        <w:t>issuance of such security. For the purposes of this Section 5(g), the number of shares of Common Stock at any time outstanding shall not include shares held in the treasury of the Company. The Company will not issue any Common Stock Equivalents in respect of shares of Common Stock held in the treasury of the Company. In case at any time any shares of Common Stock or Common Stock Equivalents or any rights or options to purchase any shares of Common Stock or Common Stock Equivalents shall be issued or sold for cash, the consideration received therefor shall be deemed to be the amount received by the Company therefor, without deduction therefrom of any expenses incurred or any underwriting commissions or concessions or discounts paid or allowed by the Company in connection therewith. In case any shares of Common Stock or Common Stock Equivalents or any rights or options to purchase any Common Stock or Common Stock Equivalents shall be issued or sold for a consideration other than cash, the amount of the consideration other than cash received by the Company shall be deemed to be the fair market value of such consideration, without deduction therefrom of any expenses incurred or any underwriting commissions or concessions or discounts paid or allowed by the Company in connection therewith, as determined by a nationally recognized appraiser selected by the Board of Directors.</w:t>
      </w:r>
    </w:p>
    <w:p>
      <w:pPr>
        <w:spacing w:after="0" w:line="186" w:lineRule="exact"/>
        <w:rPr>
          <w:sz w:val="20"/>
          <w:szCs w:val="20"/>
          <w:color w:val="auto"/>
        </w:rPr>
      </w:pPr>
    </w:p>
    <w:p>
      <w:pPr>
        <w:jc w:val="both"/>
        <w:ind w:firstLine="454"/>
        <w:spacing w:after="0" w:line="254" w:lineRule="auto"/>
        <w:tabs>
          <w:tab w:leader="none" w:pos="7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outstanding shares of Common Stock shall be subdivided into a greater number of shares of Common Stock or the outstanding shares of Common Stock shall be combined into a smaller number of shares, then the Conversion Price in effect at the opening of business on the day following the day upon which such subdivision becomes effective shall be reduced, and, conversely, in case the outstanding shares of Common Stock shall each be combined into a smaller number of shares of Common Stock, the Conversion Price in effect at the opening of business on the day following the day upon which such combination becomes effective shall be increased to equal the product of the Conversion Price in effect on such date and a fraction the numerator of which shall be the number of shares of Common Stock outstanding immediately prior to such subdivision or combination, as the case may be, and the denominator of which shall be the number of shares of Common Stock outstanding immediately after such subdivision or combination, as the case may be. Such reduction or increase, as the case may be, shall become effective retroactively to the close of business on the day upon which such subdivision or combination becomes effective.</w:t>
      </w:r>
    </w:p>
    <w:p>
      <w:pPr>
        <w:spacing w:after="0" w:line="54" w:lineRule="exact"/>
        <w:rPr>
          <w:rFonts w:ascii="Times New Roman" w:cs="Times New Roman" w:eastAsia="Times New Roman" w:hAnsi="Times New Roman"/>
          <w:sz w:val="18"/>
          <w:szCs w:val="18"/>
          <w:color w:val="auto"/>
        </w:rPr>
      </w:pPr>
    </w:p>
    <w:p>
      <w:pPr>
        <w:jc w:val="both"/>
        <w:ind w:firstLine="454"/>
        <w:spacing w:after="0" w:line="252" w:lineRule="auto"/>
        <w:tabs>
          <w:tab w:leader="none" w:pos="66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 tender offer, exchange offer or other offer to repurchase made by the Company or any subsidiary of the Company for all or any portion of the Common Stock shall expire and such tender offer, exchange offer or other offer to repurchase shall involve the payment by the Company or such subsidiary of consideration per share of Common Stock having a fair market value (as determined by the Board of Directors or, to the extent permitted by applicable law, a duly authorized committee thereof, whose determination shall be conclusive and described in a resolution of the Board of Directors or such duly authorized committee thereof, as the case may be) at the last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tenders or exchanges may be made pursuant to such tender or exchange offer (as it shall have been amended) that exceeds by 5% or more the current market price per share of the Common Stock on the Trading Day next succeeding the Expiration Time, the Conversion Price shall be reduced so that the same shall equal the price determined by multiplying the Conversion Price in effect immediately prior to the Expiration Time by a fraction of which (I) the numerator shall be the number of shares of Common Stock outstanding (including any tendered or exchanged shares) on the Expiration Time multiplied by the Current Market Price per share of the Common Stock on the Trading Day next succeeding the Expiration Time and (II) the denominator shall be the sum of (x) the fair market value (determined as aforesaid) of the aggregate consideration payable to stockholders based on the acceptance (up to any maximum specified in the terms of the tender or exchange offer) of all shares validly tendered or exchanged and not withdrawn as of the Expiration Time (the shares deemed so accepted, up to any such maximum, being referred to as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and (y) the product of the number of shares of Common Stock outstanding (less any Purchased Shares) on the Expiration Time and the Current Market Price per share of the Common Stock on the Trading Day next succeeding the Expiration Time, such reduction to become effective immediately prior to the opening of business on the day following the Expiration Time. For the purposes of this Section 5(i), the number of shares of Common Stock at any time outstanding shall not include shares held in the treasury of the Company.</w:t>
      </w:r>
    </w:p>
    <w:p>
      <w:pPr>
        <w:spacing w:after="0" w:line="61" w:lineRule="exact"/>
        <w:rPr>
          <w:rFonts w:ascii="Times New Roman" w:cs="Times New Roman" w:eastAsia="Times New Roman" w:hAnsi="Times New Roman"/>
          <w:sz w:val="18"/>
          <w:szCs w:val="18"/>
          <w:color w:val="auto"/>
        </w:rPr>
      </w:pPr>
    </w:p>
    <w:p>
      <w:pPr>
        <w:ind w:left="680" w:hanging="226"/>
        <w:spacing w:after="0"/>
        <w:tabs>
          <w:tab w:leader="none" w:pos="6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issue to one or more Affiliates (other than (a) persons or entities who become Affiliates only as a result of such issuance,</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officers or employees of the Company under bona fide compensation or benefit arrangements or (c) upon the exercise of options or warrants or the conversion of convertible securities, issued for fair value at the time of any such issuance of options, warrants or convertible securities) Common Stock at a price per share less than the Current Market Price per share of the Common Stock on the date of such issuance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the Conversion Price in effect at the opening of business on the day following the Issue Date shall be reduced by multiplying such Conversion Price by a fraction the numerator of which shall be the number of shares</w:t>
      </w:r>
    </w:p>
    <w:p>
      <w:pPr>
        <w:sectPr>
          <w:pgSz w:w="11900" w:h="16838" w:orient="portrait"/>
          <w:cols w:equalWidth="0" w:num="1">
            <w:col w:w="11420"/>
          </w:cols>
          <w:pgMar w:left="240" w:top="526" w:right="239" w:bottom="1440" w:gutter="0" w:footer="0" w:header="0"/>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8"/>
          <w:szCs w:val="18"/>
          <w:color w:val="auto"/>
        </w:rPr>
        <w:t>of Common Stock outstanding at the close of business on the Issue Date plus the number of shares of Common Stock which the aggregate of the offering price of the total number of shares of Common Stock so issued would purchase at such Current Market Price and the denominator of which shall be the number of shares of Common Stock outstanding at the close of business on the Issue Date plus the number of shares of Common Stock so issued, such reduction to become effective immediately after the opening of business on the day following the Issue Date. For the purposes of this Section 5(j),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53" w:lineRule="exact"/>
        <w:rPr>
          <w:sz w:val="20"/>
          <w:szCs w:val="20"/>
          <w:color w:val="auto"/>
        </w:rPr>
      </w:pPr>
    </w:p>
    <w:p>
      <w:pPr>
        <w:jc w:val="both"/>
        <w:ind w:firstLine="454"/>
        <w:spacing w:after="0" w:line="261" w:lineRule="auto"/>
        <w:tabs>
          <w:tab w:leader="none" w:pos="7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at any time or from time to time shall take any action affecting its Common Stock similar to or having an effect similar to any of the actions described in any of Sections 5(f) through 5(j) (but not including any action described in any such Section) then, and in each such case, the Conversion Price shall be adjusted in such manner and at such time as determined in good faith by the Board of Directors (and, for so long as the Initial Holders constitute the Majority Holders, the Majority Holders).</w:t>
      </w:r>
    </w:p>
    <w:p>
      <w:pPr>
        <w:spacing w:after="0" w:line="44" w:lineRule="exact"/>
        <w:rPr>
          <w:rFonts w:ascii="Times New Roman" w:cs="Times New Roman" w:eastAsia="Times New Roman" w:hAnsi="Times New Roman"/>
          <w:sz w:val="18"/>
          <w:szCs w:val="18"/>
          <w:color w:val="auto"/>
        </w:rPr>
      </w:pPr>
    </w:p>
    <w:p>
      <w:pPr>
        <w:jc w:val="both"/>
        <w:ind w:firstLine="454"/>
        <w:spacing w:after="0" w:line="256" w:lineRule="auto"/>
        <w:tabs>
          <w:tab w:leader="none" w:pos="66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or change of Common Stock into securities, including securities other than Common Stock (other than any reclassification upon a consolidation or merger to which Section 6(a) below shall apply), shall be deemed to involve (A) a distribution of such securities other than Common Stock to all holders of Common Stock, and (B) a subdivision or combination, as the case may be, of the number of shares of Common Stock outstanding immediately prior to such reclassification into the number of Common Shares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Section 5(h) above).</w:t>
      </w:r>
    </w:p>
    <w:p>
      <w:pPr>
        <w:spacing w:after="0" w:line="52"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5 shall be made to the nearest 1/10,000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a cent or to the nearest 1/10,000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a share, as the case may be.</w:t>
      </w:r>
    </w:p>
    <w:p>
      <w:pPr>
        <w:spacing w:after="0" w:line="29" w:lineRule="exact"/>
        <w:rPr>
          <w:rFonts w:ascii="Times New Roman" w:cs="Times New Roman" w:eastAsia="Times New Roman" w:hAnsi="Times New Roman"/>
          <w:sz w:val="18"/>
          <w:szCs w:val="18"/>
          <w:color w:val="auto"/>
        </w:rPr>
      </w:pPr>
    </w:p>
    <w:p>
      <w:pPr>
        <w:ind w:firstLine="454"/>
        <w:spacing w:after="0" w:line="259" w:lineRule="auto"/>
        <w:tabs>
          <w:tab w:leader="none" w:pos="70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from time to time may reduce the Conversion Price if it considers such reductions to be advisable in order that any event treated for federal income tax purposes as a dividend of stock or stock rights will not be taxable to the holders of Common Stock by any amount.</w:t>
      </w:r>
    </w:p>
    <w:p>
      <w:pPr>
        <w:spacing w:after="0" w:line="46" w:lineRule="exact"/>
        <w:rPr>
          <w:rFonts w:ascii="Times New Roman" w:cs="Times New Roman" w:eastAsia="Times New Roman" w:hAnsi="Times New Roman"/>
          <w:sz w:val="18"/>
          <w:szCs w:val="18"/>
          <w:color w:val="auto"/>
        </w:rPr>
      </w:pPr>
    </w:p>
    <w:p>
      <w:pPr>
        <w:jc w:val="both"/>
        <w:ind w:firstLine="454"/>
        <w:spacing w:after="0" w:line="255" w:lineRule="auto"/>
        <w:tabs>
          <w:tab w:leader="none" w:pos="70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5, “Common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6(a) below, shares issuable on conversion of shares of Series A Preferred Stock shall include only shares of the class designated as Common Stock of the Company on the Series A Preferred Stock Issue Date or shares of any class or classes resulting from any reclassification thereof and which have no preferences in respect of dividends or amounts payable in the event of any voluntary or involuntary liquidation, dissolution or winding-up of the Company and which are not subject to redemption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50"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in the Conversion Price shall reduce the Conversion Price below the then par value of the Common Stock.</w:t>
      </w:r>
    </w:p>
    <w:p>
      <w:pPr>
        <w:spacing w:after="0" w:line="90" w:lineRule="exact"/>
        <w:rPr>
          <w:rFonts w:ascii="Times New Roman" w:cs="Times New Roman" w:eastAsia="Times New Roman" w:hAnsi="Times New Roman"/>
          <w:sz w:val="18"/>
          <w:szCs w:val="18"/>
          <w:color w:val="auto"/>
        </w:rPr>
      </w:pPr>
    </w:p>
    <w:p>
      <w:pPr>
        <w:jc w:val="both"/>
        <w:ind w:firstLine="454"/>
        <w:spacing w:after="0" w:line="261" w:lineRule="auto"/>
        <w:tabs>
          <w:tab w:leader="none" w:pos="7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Company takes any action which requires an adjustment in the Conversion Price pursuant to Section 5; (B) the Company consolidates or merges with, or transfers all or substantially all of its assets to, another corporation, and stockholders of the Company must approve the transaction; or</w:t>
      </w:r>
    </w:p>
    <w:p>
      <w:pPr>
        <w:jc w:val="both"/>
        <w:ind w:firstLine="8"/>
        <w:spacing w:after="0" w:line="252" w:lineRule="auto"/>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dissolution or liquidation of the Company; the Company shall mail to holders of the Series A Preferred Stock, first class, postage prepaid, a notice stating the proposed record or effective date, as the case may be. The Company shall mail the notice at least ten (10) days before such date. However, failure to mail the notice or any defect in it shall not affect the validity of any transaction referred to in clause (A), (B) or (C) of this Section. Whenever the Conversion Price is adjusted, the Company shall promptly mail to holders of Series A Preferred Stock, first class, postage prepaid, a notice of the adjustment. The Company shall file with the Transfer Agent for the Series A Preferred Stock, if other than the Company, a certificate from the Company’s chief financial officer briefly stating the facts requiring the adjustment and the manner of computing it.</w:t>
      </w:r>
    </w:p>
    <w:p>
      <w:pPr>
        <w:sectPr>
          <w:pgSz w:w="11900" w:h="16838" w:orient="portrait"/>
          <w:cols w:equalWidth="0" w:num="1">
            <w:col w:w="11420"/>
          </w:cols>
          <w:pgMar w:left="240" w:top="445" w:right="239" w:bottom="1440" w:gutter="0" w:footer="0" w:header="0"/>
        </w:sectPr>
      </w:pPr>
    </w:p>
    <w:bookmarkStart w:id="101" w:name="page102"/>
    <w:bookmarkEnd w:id="101"/>
    <w:p>
      <w:pPr>
        <w:jc w:val="both"/>
        <w:ind w:left="-454" w:firstLine="454"/>
        <w:spacing w:after="0" w:line="256" w:lineRule="auto"/>
        <w:tabs>
          <w:tab w:leader="none" w:pos="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in which this Section 5 shall require that an adjustment as a result of any event becomes effective from and after a record date, the Company may elect to defer until after the occurrence of such event the issuance to the holder of any shares of Series A Preferred Stock converted after such record date and before the occurrence of such event of the additional shares of Common Stock issuable upon such conversion over and above the shares issuable on the basis of the Conversion Price in effect immediately prior to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event shall not have occurred and authorization of such event shall be rescinded by the Company, the Conversion Price shall be recomputed immediately upon such rescission to the price that would have been in effect had such event not been authorized, provided that such rescission is permitted by and effective under applicable laws.</w:t>
      </w:r>
    </w:p>
    <w:p>
      <w:pPr>
        <w:spacing w:after="0" w:line="134" w:lineRule="exact"/>
        <w:rPr>
          <w:sz w:val="20"/>
          <w:szCs w:val="20"/>
          <w:color w:val="auto"/>
        </w:rPr>
      </w:pPr>
    </w:p>
    <w:p>
      <w:pPr>
        <w:ind w:left="186" w:hanging="186"/>
        <w:spacing w:after="0"/>
        <w:tabs>
          <w:tab w:leader="none" w:pos="1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Liquidation Event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454" w:firstLine="454"/>
        <w:spacing w:after="0" w:line="253" w:lineRule="auto"/>
        <w:tabs>
          <w:tab w:leader="none" w:pos="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case of any Change in Control of the Company, then, upon consummation of such transaction, each holder of a share of Series A Preferred Stock shall be entitled to receive in respect of such share the greater of (i) the Liquidation Preference plus accrued and unpaid dividends thereon, whether or not declared, if any, or (ii) the amount such holder would receive if such holder converted such share of Series A Preferred Stock into the kind and amount of securities, cash or other assets receivable upon the consummation of the Change in Control by a holder of the number of shares of Common Stock into which such share of Series A Preferred Stock might have been converted immediately prior to such Change in Control (assuming such holder of Common Stock failed to exercise any rights of election and received per share the kind and amount of consideration receivable per share by a plurality of non-electing shares). Appropriate adjustment (as determined by the Board of Directors) shall be made in the application of the provisions herein set forth with respect to the rights and interests thereafter of the holders of Series A Preferred Stock, to the end that the provisions set forth herein (including provisions with respect to changes in and other adjustment of the Conversion Price) shall thereafter be applicable, as nearly as reasonably may be, in relation to any shares of stock or other securities or property thereafter deliverable upon the conversion of Series A Preferred Stock. If this Section 6(a) applies, Sections 5(f), 5(h) and 5(l) do not apply.</w:t>
      </w:r>
    </w:p>
    <w:p>
      <w:pPr>
        <w:spacing w:after="0" w:line="57" w:lineRule="exact"/>
        <w:rPr>
          <w:rFonts w:ascii="Times New Roman" w:cs="Times New Roman" w:eastAsia="Times New Roman" w:hAnsi="Times New Roman"/>
          <w:sz w:val="18"/>
          <w:szCs w:val="18"/>
          <w:color w:val="auto"/>
        </w:rPr>
      </w:pPr>
    </w:p>
    <w:p>
      <w:pPr>
        <w:jc w:val="both"/>
        <w:ind w:left="-454" w:firstLine="454"/>
        <w:spacing w:after="0" w:line="252"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Upon any Liquidation Event of the Company, each holder of shares of the Series A Preferred Stock will be entitled to payment out of the assets of the Company available for distribution, before any distribution or payment out of such assets may be made to the holders of any Junior Securities, and subject to the rights of the holders of any Senior Securities or Parity Securities upon liquidation and the rights of the Company’s creditors, of an amount equal to the Liquidation Preference plus accrued and unpaid dividends thereon, whether or not declared. After payment in full of the Liquidation Preference plus accrued and unpaid dividends thereon to which holders of Series A Preferred Stock are entitled, such holders will not be entitled to any further participation in any distribution of assets of the Company. If, upon any Liquidation Event of the Company, the amounts payable with respect to the Series A Preferred Stock and any other Parity Securities are not paid in full, the holders of the Series A Preferred Stock and such Parity Securities will share equally and ratably in any distribution of assets of the Company in proportion to the full liquidation preference and accumulated and unpaid dividends, if any, and other amounts payable in such event, to which each is entitled. The following shall be regarded as “Liquidation Events” within the meaning of this Section 5 (without limitation): (a) the commencement of a voluntary or involuntary case with respect to the Company or any subsidiary holding all or substantially all of the Company’s assets (on a consolidated basis) pursuant to or within the meaning of Title 11 of the United States Code, (b) the appointment of a custodian for all or substantially all of the assets of the Company and its Subsidiaries, taken as a whole, and (c) a general assignment by the Company for the benefit of its creditors. To the maximum extent that any liquidating distribution is made in a combination of cash and property other than cash, the liquidating distributions to the holders of the Series A Preferred shall be made in cash to the maximum extent possible, in preference and priority to the liquidating distribution payable to any other capital stock, other than Parity Stock (in which case, such distribution in cash shall be made pro rata) or Senior Stock. Whenever the distribution provided for in this Section shall be payable in property other than cash, the value of such distribution shall be the fair market value of such property as determined in good faith by the Board of Directors.</w:t>
      </w:r>
    </w:p>
    <w:p>
      <w:pPr>
        <w:spacing w:after="0" w:line="141" w:lineRule="exact"/>
        <w:rPr>
          <w:sz w:val="20"/>
          <w:szCs w:val="20"/>
          <w:color w:val="auto"/>
        </w:rPr>
      </w:pPr>
    </w:p>
    <w:p>
      <w:pPr>
        <w:ind w:left="186" w:hanging="186"/>
        <w:spacing w:after="0"/>
        <w:tabs>
          <w:tab w:leader="none" w:pos="1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454" w:firstLine="454"/>
        <w:spacing w:after="0" w:line="261"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Series A Preferred Stock shall be redeemable, at the option of the Company, in whole, or, from time to time, in part, at any time beginning on the second anniversary of the Series A Preferred Stock Issue Date, payable by the Company through the issuance of shares of Common Stock. The number of shares of Common Stock to be delivered by the Company with respect to the shares of Series A Preferred Stock being redeemed (the “</w:t>
      </w:r>
      <w:r>
        <w:rPr>
          <w:rFonts w:ascii="Times New Roman" w:cs="Times New Roman" w:eastAsia="Times New Roman" w:hAnsi="Times New Roman"/>
          <w:sz w:val="18"/>
          <w:szCs w:val="18"/>
          <w:u w:val="single" w:color="auto"/>
          <w:color w:val="auto"/>
        </w:rPr>
        <w:t>Redemption</w:t>
      </w:r>
    </w:p>
    <w:p>
      <w:pPr>
        <w:sectPr>
          <w:pgSz w:w="11900" w:h="16838" w:orient="portrait"/>
          <w:cols w:equalWidth="0" w:num="1">
            <w:col w:w="10966"/>
          </w:cols>
          <w:pgMar w:left="694" w:top="445"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shall be equal to (1) the Applicable Redemption Amount (as defined below) per share of the Series A Preferred Stock being redeemed, divided by</w:t>
      </w:r>
    </w:p>
    <w:p>
      <w:pPr>
        <w:spacing w:after="0" w:line="27" w:lineRule="exact"/>
        <w:rPr>
          <w:sz w:val="20"/>
          <w:szCs w:val="20"/>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Market Price on the Redemption Date.</w:t>
      </w:r>
    </w:p>
    <w:p>
      <w:pPr>
        <w:spacing w:after="0" w:line="287"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Applicable Redemption Amount</w:t>
      </w:r>
      <w:r>
        <w:rPr>
          <w:rFonts w:ascii="Times New Roman" w:cs="Times New Roman" w:eastAsia="Times New Roman" w:hAnsi="Times New Roman"/>
          <w:sz w:val="18"/>
          <w:szCs w:val="18"/>
          <w:color w:val="auto"/>
        </w:rPr>
        <w:t>” shall mean:</w:t>
      </w:r>
    </w:p>
    <w:p>
      <w:pPr>
        <w:spacing w:after="0" w:line="90" w:lineRule="exact"/>
        <w:rPr>
          <w:rFonts w:ascii="Times New Roman" w:cs="Times New Roman" w:eastAsia="Times New Roman" w:hAnsi="Times New Roman"/>
          <w:sz w:val="18"/>
          <w:szCs w:val="18"/>
          <w:color w:val="auto"/>
        </w:rPr>
      </w:pPr>
    </w:p>
    <w:p>
      <w:pPr>
        <w:jc w:val="both"/>
        <w:ind w:left="440" w:firstLine="446"/>
        <w:spacing w:after="0" w:line="266" w:lineRule="auto"/>
        <w:tabs>
          <w:tab w:leader="none" w:pos="111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second anniversary of the Series A Preferred Stock Issue Date and prior to the third anniversary of the Series A Preferred Stock Issue Date, an amount per share of Series A Preferred Stock being redeemed equal to the product of (i) 103% and (ii) the Liquidation Preference (up to and including the Redemption Date), plus all accrued and unpaid dividends thereon, whether or not declared;</w:t>
      </w:r>
    </w:p>
    <w:p>
      <w:pPr>
        <w:spacing w:after="0" w:line="41" w:lineRule="exact"/>
        <w:rPr>
          <w:rFonts w:ascii="Times New Roman" w:cs="Times New Roman" w:eastAsia="Times New Roman" w:hAnsi="Times New Roman"/>
          <w:sz w:val="18"/>
          <w:szCs w:val="18"/>
          <w:color w:val="auto"/>
        </w:rPr>
      </w:pPr>
    </w:p>
    <w:p>
      <w:pPr>
        <w:jc w:val="both"/>
        <w:ind w:left="440" w:firstLine="446"/>
        <w:spacing w:after="0" w:line="266" w:lineRule="auto"/>
        <w:tabs>
          <w:tab w:leader="none" w:pos="1168"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third anniversary of the Series A Preferred Stock Issue Date and prior to the fourth anniversary of the Series A Preferred Stock Issue Date, an amount per share of Series A Preferred Stock being redeemed equal to the product of (i) 102% and (ii) the Liquidation Preference (up to and including the Redemption Date) plus all accrued and unpaid dividends thereon, whether or not declared;</w:t>
      </w:r>
    </w:p>
    <w:p>
      <w:pPr>
        <w:spacing w:after="0" w:line="41" w:lineRule="exact"/>
        <w:rPr>
          <w:rFonts w:ascii="Times New Roman" w:cs="Times New Roman" w:eastAsia="Times New Roman" w:hAnsi="Times New Roman"/>
          <w:sz w:val="18"/>
          <w:szCs w:val="18"/>
          <w:color w:val="auto"/>
        </w:rPr>
      </w:pPr>
    </w:p>
    <w:p>
      <w:pPr>
        <w:jc w:val="both"/>
        <w:ind w:left="440" w:firstLine="446"/>
        <w:spacing w:after="0" w:line="266" w:lineRule="auto"/>
        <w:tabs>
          <w:tab w:leader="none" w:pos="1217"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fourth anniversary of the Series A Preferred Stock Issue Date and prior to the fifth anniversary of the Series A Preferred Stock Issue Date, an amount per share of Series A Preferred Stock being redeemed equal to product of (i) 101% and (ii) the Liquidation Preference (up to and including the Redemption Date) plus all accrued and unpaid dividends thereon, whether or not declared; and</w:t>
      </w:r>
    </w:p>
    <w:p>
      <w:pPr>
        <w:spacing w:after="0" w:line="41" w:lineRule="exact"/>
        <w:rPr>
          <w:sz w:val="20"/>
          <w:szCs w:val="20"/>
          <w:color w:val="auto"/>
        </w:rPr>
      </w:pPr>
    </w:p>
    <w:p>
      <w:pPr>
        <w:jc w:val="both"/>
        <w:ind w:left="440" w:firstLine="446"/>
        <w:spacing w:after="0" w:line="266" w:lineRule="auto"/>
        <w:tabs>
          <w:tab w:leader="none" w:pos="12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fifth anniversary of the Series A Preferred Stock Issue Date and thereafter, at an amount per share of Series A Preferred Stock being redeemed equal to the Liquidation Preference (up to and including the Redemption Date) plus all accrued and unpaid dividends thereon, whether or not declared.</w:t>
      </w:r>
    </w:p>
    <w:p>
      <w:pPr>
        <w:spacing w:after="0" w:line="41" w:lineRule="exact"/>
        <w:rPr>
          <w:rFonts w:ascii="Times New Roman" w:cs="Times New Roman" w:eastAsia="Times New Roman" w:hAnsi="Times New Roman"/>
          <w:sz w:val="18"/>
          <w:szCs w:val="18"/>
          <w:color w:val="auto"/>
        </w:rPr>
      </w:pPr>
    </w:p>
    <w:p>
      <w:pPr>
        <w:jc w:val="both"/>
        <w:ind w:right="20" w:firstLine="454"/>
        <w:spacing w:after="0" w:line="266" w:lineRule="auto"/>
        <w:tabs>
          <w:tab w:leader="none" w:pos="69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outstanding shares of Series A Preferred Stock are to be redeemed pursuant to Section 7(a) hereof, the number of shares to be so redeemed shall be determined by the Board of Directors and the shares to be redeemed shall be pro rata from each holder of Series A Preferred Stock, based upon the number of shares of Series A Preferred Stock held by each holder.</w:t>
      </w:r>
    </w:p>
    <w:p>
      <w:pPr>
        <w:spacing w:after="0" w:line="41" w:lineRule="exact"/>
        <w:rPr>
          <w:rFonts w:ascii="Times New Roman" w:cs="Times New Roman" w:eastAsia="Times New Roman" w:hAnsi="Times New Roman"/>
          <w:sz w:val="18"/>
          <w:szCs w:val="18"/>
          <w:color w:val="auto"/>
        </w:rPr>
      </w:pPr>
    </w:p>
    <w:p>
      <w:pPr>
        <w:jc w:val="both"/>
        <w:ind w:firstLine="454"/>
        <w:spacing w:after="0" w:line="254" w:lineRule="auto"/>
        <w:tabs>
          <w:tab w:leader="none" w:pos="7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thirty (30) days prior to the date fixed for the redemption of shares of Series A Preferred Stock, a written notice shall be mailed in postage prepaid envelope to each holder of record of the shares of Series A Preferred Stock to be redeemed, addressed to such holder at his or her post office address as shown on the records of the Company (or other Transfer Agent), notifying such holder that its shares are subject to redemption, stating the date fixed for redemption thereof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and calling upon such holder to surrender to the Company, on the Redemption Date at the place designated in such notice, his or her certificate or certificates representing the number of shares specified in such notice of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notice shall not prohibit any holder from exercising its Conversion Right at any time prior to the Redemption Date. On or after the Redemption Date, such holder of shares of Series A Preferred Stock to be redeemed shall present and surrender his or her certificate or certificates for such shares to the Company at the place designated in such notice and thereupon the Redemption Payment in respect of such shares shall be paid to the order of the person whose name appears on such certificate or certificates as the owner thereof and such surrendered certificate shall be cancelled. In case less than all the shares represented by any such certificates are redeemed, a new certificate shall be issued representing the unredeemed shares.</w:t>
      </w:r>
    </w:p>
    <w:p>
      <w:pPr>
        <w:spacing w:after="0" w:line="186" w:lineRule="exact"/>
        <w:rPr>
          <w:rFonts w:ascii="Times New Roman" w:cs="Times New Roman" w:eastAsia="Times New Roman" w:hAnsi="Times New Roman"/>
          <w:sz w:val="18"/>
          <w:szCs w:val="18"/>
          <w:color w:val="auto"/>
        </w:rPr>
      </w:pPr>
    </w:p>
    <w:p>
      <w:pPr>
        <w:jc w:val="both"/>
        <w:ind w:firstLine="454"/>
        <w:spacing w:after="0" w:line="254" w:lineRule="auto"/>
        <w:tabs>
          <w:tab w:leader="none" w:pos="6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Redemption Date (unless the Company defaults in payment of the Redemption Payment), all dividends on the shares of Series A Preferred Stock designated for redemption in such notice shall cease to accrue, and all rights of the holders thereof as stockholders of the Company, except the right to receive the Redemption Payment in respect of such shares (including an amount equal to all accrued and unpaid dividends thereon, whether or not declared, if any, up to the Redemption Date) upon the surrender of certificates representing the same, shall cease and terminate and such shares shall not thereafter be transferred (except with the consent of the Company) on the books of the Company, and such shares shall not be deemed to be outstanding for any purpose whatsoever;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in the case of the Redemption Date falling after a dividend payment record date and prior to the related Dividend Payment Date or Special Dividend Payment Date, the holders of Series A Preferred Stock at the close of business on such record date will be entitled to receive the dividend payable on such shares on the corresponding Dividend Payment Date or Special Dividend Payment Date, notwithstanding the redemption of such shares following such dividend payment record date, but such dividend amount shall not be deemed accumulated and unpaid for purposes of calculating the Applicable Redemption Amount hereunder.</w:t>
      </w:r>
    </w:p>
    <w:p>
      <w:pPr>
        <w:sectPr>
          <w:pgSz w:w="11900" w:h="16838" w:orient="portrait"/>
          <w:cols w:equalWidth="0" w:num="1">
            <w:col w:w="11420"/>
          </w:cols>
          <w:pgMar w:left="240" w:top="445" w:right="239" w:bottom="1440" w:gutter="0" w:footer="0" w:header="0"/>
        </w:sectPr>
      </w:pPr>
    </w:p>
    <w:bookmarkStart w:id="103" w:name="page104"/>
    <w:bookmarkEnd w:id="103"/>
    <w:p>
      <w:pPr>
        <w:jc w:val="both"/>
        <w:ind w:left="-454" w:firstLine="454"/>
        <w:spacing w:after="0" w:line="256" w:lineRule="auto"/>
        <w:tabs>
          <w:tab w:leader="none" w:pos="2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redemption has been given pursuant to this Section 7 and any holder of shares of Series A Preferred Stock shall, prior to the close of business on the day preceding the Redemption Date, given written notice to the corporation pursuant to Section 5 above of the conversion of any or all of the shares to be redeemed held by such holder (accompanied by a certificate or certificates for such shares, duly endorsed or assigned to the Company, and any necessary transfer tax payment, as required by Section 5 above), then such redemption shall not become effective as to such shares to be converted, such conversion shall become effective as provided in Section 5 above, and any moneys set aside by the Company for the redemption of such shares of converted Series A Preferred Stock shall revert to the general funds of the Company.</w:t>
      </w:r>
    </w:p>
    <w:p>
      <w:pPr>
        <w:spacing w:after="0" w:line="134" w:lineRule="exact"/>
        <w:rPr>
          <w:sz w:val="20"/>
          <w:szCs w:val="20"/>
          <w:color w:val="auto"/>
        </w:rPr>
      </w:pPr>
    </w:p>
    <w:p>
      <w:pPr>
        <w:ind w:left="186" w:hanging="186"/>
        <w:spacing w:after="0"/>
        <w:tabs>
          <w:tab w:leader="none" w:pos="1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454" w:firstLine="454"/>
        <w:spacing w:after="0" w:line="258" w:lineRule="auto"/>
        <w:tabs>
          <w:tab w:leader="none" w:pos="24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A Preferred Stock shall be entitled to notice of all stockholders meetings in accordance with the Company’s bylaws and the FBCA, and except as otherwise required by applicable law, the holders of the Series A Preferred Stock shall be entitled to vote on all matters submitted to the stockholders for a vote, voting together with the holders of the Common Stock as a single class, with each share of Common Stock entitled to one vote per share and each share of Series A Preferred Stock entitled to one vote for each share of Common Stock issuable upon conversion of the Series A Preferred Stock as of the record date for such vote or, if no record date is specified, as of the date of such vote.</w:t>
      </w:r>
    </w:p>
    <w:p>
      <w:pPr>
        <w:spacing w:after="0" w:line="48" w:lineRule="exact"/>
        <w:rPr>
          <w:rFonts w:ascii="Times New Roman" w:cs="Times New Roman" w:eastAsia="Times New Roman" w:hAnsi="Times New Roman"/>
          <w:sz w:val="18"/>
          <w:szCs w:val="18"/>
          <w:color w:val="auto"/>
        </w:rPr>
      </w:pPr>
    </w:p>
    <w:p>
      <w:pPr>
        <w:jc w:val="both"/>
        <w:ind w:left="-454" w:firstLine="454"/>
        <w:spacing w:after="0" w:line="258" w:lineRule="auto"/>
        <w:tabs>
          <w:tab w:leader="none" w:pos="2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A Preferred Stock are outstanding, the Company shall not, either directly or indirectly, by amendment, merger, reorganization, reclassification, recapitalization, conversion, consolidation or otherwise, do any of the following without (in addition to any other vote required by law or the Articles of Incorporation) the affirmative vote or consent of the Majority Holders, given in person or by proxy, either in writing by consent or by resolution adopted at an annual or special meeting and any act or transaction entered into without such vote or consent shall be void ab initio and of no force and effect:</w:t>
      </w:r>
    </w:p>
    <w:p>
      <w:pPr>
        <w:spacing w:after="0" w:line="183" w:lineRule="exact"/>
        <w:rPr>
          <w:rFonts w:ascii="Times New Roman" w:cs="Times New Roman" w:eastAsia="Times New Roman" w:hAnsi="Times New Roman"/>
          <w:sz w:val="18"/>
          <w:szCs w:val="18"/>
          <w:color w:val="auto"/>
        </w:rPr>
      </w:pPr>
    </w:p>
    <w:p>
      <w:pPr>
        <w:ind w:left="-14" w:right="20" w:firstLine="446"/>
        <w:spacing w:after="0" w:line="282" w:lineRule="auto"/>
        <w:tabs>
          <w:tab w:leader="none" w:pos="68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create (by way of reclassification or otherwise) or issue any Senior Securities or any obligation or security convertible or exchangeable into or evidencing the right to purchase, shares of any class or series of Senior Securities;</w:t>
      </w:r>
    </w:p>
    <w:p>
      <w:pPr>
        <w:spacing w:after="0" w:line="26" w:lineRule="exact"/>
        <w:rPr>
          <w:rFonts w:ascii="Times New Roman" w:cs="Times New Roman" w:eastAsia="Times New Roman" w:hAnsi="Times New Roman"/>
          <w:sz w:val="18"/>
          <w:szCs w:val="18"/>
          <w:color w:val="auto"/>
        </w:rPr>
      </w:pPr>
    </w:p>
    <w:p>
      <w:pPr>
        <w:jc w:val="both"/>
        <w:ind w:left="-14" w:right="20" w:firstLine="446"/>
        <w:spacing w:after="0" w:line="266" w:lineRule="auto"/>
        <w:tabs>
          <w:tab w:leader="none" w:pos="7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alter or amend any authorized Parity Securities, Senior Securities or Junior Securities of the Company, if such reclassification, alteration or amendment would render such other security senior to (or, in the case of Senior Securities, senior in additional respects to) the Series A Preferred Stock;</w:t>
      </w:r>
    </w:p>
    <w:p>
      <w:pPr>
        <w:spacing w:after="0" w:line="41" w:lineRule="exact"/>
        <w:rPr>
          <w:rFonts w:ascii="Times New Roman" w:cs="Times New Roman" w:eastAsia="Times New Roman" w:hAnsi="Times New Roman"/>
          <w:sz w:val="18"/>
          <w:szCs w:val="18"/>
          <w:color w:val="auto"/>
        </w:rPr>
      </w:pPr>
    </w:p>
    <w:p>
      <w:pPr>
        <w:ind w:left="-14" w:firstLine="446"/>
        <w:spacing w:after="0" w:line="282" w:lineRule="auto"/>
        <w:tabs>
          <w:tab w:leader="none" w:pos="7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Series A Preferred Stock other than (A) the Series A Preferred Stock issued on the Series A Preferred Stock Issue Date and (B) PIK Dividends;</w:t>
      </w:r>
    </w:p>
    <w:p>
      <w:pPr>
        <w:spacing w:after="0" w:line="26" w:lineRule="exact"/>
        <w:rPr>
          <w:rFonts w:ascii="Times New Roman" w:cs="Times New Roman" w:eastAsia="Times New Roman" w:hAnsi="Times New Roman"/>
          <w:sz w:val="18"/>
          <w:szCs w:val="18"/>
          <w:color w:val="auto"/>
        </w:rPr>
      </w:pPr>
    </w:p>
    <w:p>
      <w:pPr>
        <w:jc w:val="both"/>
        <w:ind w:left="-14" w:right="20" w:firstLine="446"/>
        <w:spacing w:after="0" w:line="266" w:lineRule="auto"/>
        <w:tabs>
          <w:tab w:leader="none" w:pos="74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third anniversary of the Series A Preferred Stock Issue Date, issue any Parity Securities or any obligation or security convertible or exchangeable into or evidencing the right to purchase, shares of any class or series of Parity Securities, in each case, to the extent that the aggregate liquidation preference in respect of all Parity Securities then outstanding (other than the Series A Preferred Stock) would exceed $325,000,000;</w:t>
      </w:r>
    </w:p>
    <w:p>
      <w:pPr>
        <w:spacing w:after="0" w:line="41" w:lineRule="exact"/>
        <w:rPr>
          <w:rFonts w:ascii="Times New Roman" w:cs="Times New Roman" w:eastAsia="Times New Roman" w:hAnsi="Times New Roman"/>
          <w:sz w:val="18"/>
          <w:szCs w:val="18"/>
          <w:color w:val="auto"/>
        </w:rPr>
      </w:pPr>
    </w:p>
    <w:p>
      <w:pPr>
        <w:ind w:left="-14" w:firstLine="446"/>
        <w:spacing w:after="0" w:line="282" w:lineRule="auto"/>
        <w:tabs>
          <w:tab w:leader="none" w:pos="69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these Articles of Designation or the Articles of Incorporation in any manner that under the FBCA requires the prior vote as a separate class of the holders of Series A Preferred Stock;</w:t>
      </w:r>
    </w:p>
    <w:p>
      <w:pPr>
        <w:spacing w:after="0" w:line="26" w:lineRule="exact"/>
        <w:rPr>
          <w:rFonts w:ascii="Times New Roman" w:cs="Times New Roman" w:eastAsia="Times New Roman" w:hAnsi="Times New Roman"/>
          <w:sz w:val="18"/>
          <w:szCs w:val="18"/>
          <w:color w:val="auto"/>
        </w:rPr>
      </w:pPr>
    </w:p>
    <w:p>
      <w:pPr>
        <w:ind w:left="-14" w:firstLine="446"/>
        <w:spacing w:after="0" w:line="282" w:lineRule="auto"/>
        <w:tabs>
          <w:tab w:leader="none" w:pos="74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these Articles of Designation or the Articles of Incorporation in any manner that would adversely affect the rights, privileges or preferences of the Series A Preferred Stock;</w:t>
      </w:r>
    </w:p>
    <w:p>
      <w:pPr>
        <w:spacing w:after="0" w:line="26" w:lineRule="exact"/>
        <w:rPr>
          <w:rFonts w:ascii="Times New Roman" w:cs="Times New Roman" w:eastAsia="Times New Roman" w:hAnsi="Times New Roman"/>
          <w:sz w:val="18"/>
          <w:szCs w:val="18"/>
          <w:color w:val="auto"/>
        </w:rPr>
      </w:pPr>
    </w:p>
    <w:p>
      <w:pPr>
        <w:ind w:left="-14" w:firstLine="446"/>
        <w:spacing w:after="0" w:line="282" w:lineRule="auto"/>
        <w:tabs>
          <w:tab w:leader="none" w:pos="79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dividend in cash to the Common Stock, other Junior Securities or Parity Securities in respect of any quarterly dividend unless the dividend payable in respect of such quarter on the Series A Preferred Stock is also paid in cash to the same extent; or</w:t>
      </w:r>
    </w:p>
    <w:p>
      <w:pPr>
        <w:spacing w:after="0" w:line="26" w:lineRule="exact"/>
        <w:rPr>
          <w:rFonts w:ascii="Times New Roman" w:cs="Times New Roman" w:eastAsia="Times New Roman" w:hAnsi="Times New Roman"/>
          <w:sz w:val="18"/>
          <w:szCs w:val="18"/>
          <w:color w:val="auto"/>
        </w:rPr>
      </w:pPr>
    </w:p>
    <w:p>
      <w:pPr>
        <w:ind w:left="-14" w:right="20" w:firstLine="446"/>
        <w:spacing w:after="0" w:line="282" w:lineRule="auto"/>
        <w:tabs>
          <w:tab w:leader="none" w:pos="85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provision of these Articles of Designation or take any actions intended to circumvent the provisions of these Articles of Designations.</w:t>
      </w:r>
    </w:p>
    <w:p>
      <w:pPr>
        <w:spacing w:after="0" w:line="26" w:lineRule="exact"/>
        <w:rPr>
          <w:rFonts w:ascii="Times New Roman" w:cs="Times New Roman" w:eastAsia="Times New Roman" w:hAnsi="Times New Roman"/>
          <w:sz w:val="18"/>
          <w:szCs w:val="18"/>
          <w:color w:val="auto"/>
        </w:rPr>
      </w:pPr>
    </w:p>
    <w:p>
      <w:pPr>
        <w:ind w:left="-454" w:firstLine="454"/>
        <w:spacing w:after="0" w:line="282" w:lineRule="auto"/>
        <w:tabs>
          <w:tab w:leader="none" w:pos="23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each holder affected, an amendment or waiver of the Company’s Articles of Incorporation or of these Articles of Designation may not (with respect to any shares of Series A Preferred Stock held by a non-consenting holder):</w:t>
      </w:r>
    </w:p>
    <w:p>
      <w:pPr>
        <w:sectPr>
          <w:pgSz w:w="11900" w:h="16838" w:orient="portrait"/>
          <w:cols w:equalWidth="0" w:num="1">
            <w:col w:w="10966"/>
          </w:cols>
          <w:pgMar w:left="694" w:top="445" w:right="239" w:bottom="1440" w:gutter="0" w:footer="0" w:header="0"/>
        </w:sectPr>
      </w:pPr>
    </w:p>
    <w:bookmarkStart w:id="104" w:name="page105"/>
    <w:bookmarkEnd w:id="104"/>
    <w:p>
      <w:pPr>
        <w:ind w:left="440" w:right="20" w:firstLine="446"/>
        <w:spacing w:after="0" w:line="282" w:lineRule="auto"/>
        <w:tabs>
          <w:tab w:leader="none" w:pos="110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voting rights with respect to the Series A Preferred Stock or reduce the number of shares of Series A Preferred Stock whose holders must consent to an amendment, supplement or waiver;</w:t>
      </w:r>
    </w:p>
    <w:p>
      <w:pPr>
        <w:spacing w:after="0" w:line="161" w:lineRule="exact"/>
        <w:rPr>
          <w:rFonts w:ascii="Times New Roman" w:cs="Times New Roman" w:eastAsia="Times New Roman" w:hAnsi="Times New Roman"/>
          <w:sz w:val="18"/>
          <w:szCs w:val="18"/>
          <w:color w:val="auto"/>
        </w:rPr>
      </w:pPr>
    </w:p>
    <w:p>
      <w:pPr>
        <w:ind w:left="1160" w:hanging="274"/>
        <w:spacing w:after="0"/>
        <w:tabs>
          <w:tab w:leader="none" w:pos="1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Liquidation Preference or alter the provisions with respect to the redemption of the Series A Preferred Stock;</w:t>
      </w:r>
    </w:p>
    <w:p>
      <w:pPr>
        <w:spacing w:after="0" w:line="90"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conversion rights of the holders of Series A Preferred Stock set forth in Section 5 hereof;</w:t>
      </w:r>
    </w:p>
    <w:p>
      <w:pPr>
        <w:spacing w:after="0" w:line="90"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payment of dividends on any share of Series A Preferred Stock;</w:t>
      </w:r>
    </w:p>
    <w:p>
      <w:pPr>
        <w:spacing w:after="0" w:line="90" w:lineRule="exact"/>
        <w:rPr>
          <w:rFonts w:ascii="Times New Roman" w:cs="Times New Roman" w:eastAsia="Times New Roman" w:hAnsi="Times New Roman"/>
          <w:sz w:val="18"/>
          <w:szCs w:val="18"/>
          <w:color w:val="auto"/>
        </w:rPr>
      </w:pPr>
    </w:p>
    <w:p>
      <w:pPr>
        <w:ind w:left="1140" w:hanging="254"/>
        <w:spacing w:after="0"/>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consequences of any failure to pay dividends on the Series A Preferred Stock;</w:t>
      </w:r>
    </w:p>
    <w:p>
      <w:pPr>
        <w:spacing w:after="0" w:line="90"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share of Series A Preferred Stock payable in any form other than that stated in these Articles of Designation;</w:t>
      </w:r>
    </w:p>
    <w:p>
      <w:pPr>
        <w:spacing w:after="0" w:line="90" w:lineRule="exact"/>
        <w:rPr>
          <w:rFonts w:ascii="Times New Roman" w:cs="Times New Roman" w:eastAsia="Times New Roman" w:hAnsi="Times New Roman"/>
          <w:sz w:val="18"/>
          <w:szCs w:val="18"/>
          <w:color w:val="auto"/>
        </w:rPr>
      </w:pPr>
    </w:p>
    <w:p>
      <w:pPr>
        <w:ind w:left="440" w:firstLine="446"/>
        <w:spacing w:after="0" w:line="282" w:lineRule="auto"/>
        <w:tabs>
          <w:tab w:leader="none" w:pos="124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these Articles of Designation relating to waivers of the rights of holders of Series A Preferred Stock to receive the Liquidation Preference and dividends on the Series A Preferred Stock; or</w:t>
      </w:r>
    </w:p>
    <w:p>
      <w:pPr>
        <w:spacing w:after="0" w:line="2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share of Series A Preferred Stock.</w:t>
      </w:r>
    </w:p>
    <w:p>
      <w:pPr>
        <w:spacing w:after="0" w:line="90" w:lineRule="exact"/>
        <w:rPr>
          <w:rFonts w:ascii="Times New Roman" w:cs="Times New Roman" w:eastAsia="Times New Roman" w:hAnsi="Times New Roman"/>
          <w:sz w:val="18"/>
          <w:szCs w:val="18"/>
          <w:color w:val="auto"/>
        </w:rPr>
      </w:pPr>
    </w:p>
    <w:p>
      <w:pPr>
        <w:jc w:val="both"/>
        <w:ind w:firstLine="454"/>
        <w:spacing w:after="0" w:line="266" w:lineRule="auto"/>
        <w:tabs>
          <w:tab w:leader="none" w:pos="7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herein or otherwise in the Company’s Articles of Incorporation or bylaws shall limit or prevent the right of the holders of the Series A Preferred Stock from, to the fullest extent allowed by law, exercising the voting rights provided in this Section by written consent of the Majoirty Holders.</w:t>
      </w:r>
    </w:p>
    <w:p>
      <w:pPr>
        <w:spacing w:after="0" w:line="122" w:lineRule="exact"/>
        <w:rPr>
          <w:sz w:val="20"/>
          <w:szCs w:val="20"/>
          <w:color w:val="auto"/>
        </w:rPr>
      </w:pPr>
    </w:p>
    <w:p>
      <w:pPr>
        <w:ind w:left="640" w:hanging="186"/>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Observer; Information Rights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54"/>
        <w:spacing w:after="0" w:line="254" w:lineRule="auto"/>
        <w:tabs>
          <w:tab w:leader="none" w:pos="7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Holders shall have the right to appoint one individual (the “</w:t>
      </w:r>
      <w:r>
        <w:rPr>
          <w:rFonts w:ascii="Times New Roman" w:cs="Times New Roman" w:eastAsia="Times New Roman" w:hAnsi="Times New Roman"/>
          <w:sz w:val="18"/>
          <w:szCs w:val="18"/>
          <w:u w:val="single" w:color="auto"/>
          <w:color w:val="auto"/>
        </w:rPr>
        <w:t>Board Observer</w:t>
      </w:r>
      <w:r>
        <w:rPr>
          <w:rFonts w:ascii="Times New Roman" w:cs="Times New Roman" w:eastAsia="Times New Roman" w:hAnsi="Times New Roman"/>
          <w:sz w:val="18"/>
          <w:szCs w:val="18"/>
          <w:color w:val="auto"/>
        </w:rPr>
        <w:t>”) to attend as a nonvoting observer all meetings of the Company’s Board of Directors and each committee thereof, except for any portion of a meeting of the Board of Directors that intends to consider, or any committee formed to consider, a transaction between the Company and the Initial Holders, any of their Affiliates or any holder that is Affiliated with the Board Observer or an Affiliate of any holder that is Affiliated with the Board Observer, and provided that the Board Observer is subject to a customary non-disclosure agreement. The Company shall provide the Board Observer with (i) notice of all meetings of the Board of Directors and (ii) all information delivered to the members of such Board of Directors (or committees thereof) prior to such meetings, and all other materials, including proposed written consent actions, otherwise provided to the Board of Directors, at the same time such notice and information is delivered to the members of the Board of Directors. Notwithstanding the above, the Company has the right to withhold any information from the Board Observer and to exclude the Board Observer from any meeting or portion thereof of the Board of Directors or committees thereof if access to such information or attendance at such meeting, could:</w:t>
      </w:r>
    </w:p>
    <w:p>
      <w:pPr>
        <w:spacing w:after="0" w:line="189" w:lineRule="exact"/>
        <w:rPr>
          <w:rFonts w:ascii="Times New Roman" w:cs="Times New Roman" w:eastAsia="Times New Roman" w:hAnsi="Times New Roman"/>
          <w:sz w:val="18"/>
          <w:szCs w:val="18"/>
          <w:color w:val="auto"/>
        </w:rPr>
      </w:pPr>
    </w:p>
    <w:p>
      <w:pPr>
        <w:ind w:left="1140" w:hanging="254"/>
        <w:spacing w:after="0"/>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attorney-client privilege between the Company and its counsel;</w:t>
      </w:r>
    </w:p>
    <w:p>
      <w:pPr>
        <w:spacing w:after="0" w:line="90" w:lineRule="exact"/>
        <w:rPr>
          <w:rFonts w:ascii="Times New Roman" w:cs="Times New Roman" w:eastAsia="Times New Roman" w:hAnsi="Times New Roman"/>
          <w:sz w:val="18"/>
          <w:szCs w:val="18"/>
          <w:color w:val="auto"/>
        </w:rPr>
      </w:pPr>
    </w:p>
    <w:p>
      <w:pPr>
        <w:ind w:left="1140" w:hanging="254"/>
        <w:spacing w:after="0"/>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Board of Directors to breach its duties to the Company and its stockholders; or</w:t>
      </w:r>
    </w:p>
    <w:p>
      <w:pPr>
        <w:spacing w:after="0" w:line="90" w:lineRule="exact"/>
        <w:rPr>
          <w:rFonts w:ascii="Times New Roman" w:cs="Times New Roman" w:eastAsia="Times New Roman" w:hAnsi="Times New Roman"/>
          <w:sz w:val="18"/>
          <w:szCs w:val="18"/>
          <w:color w:val="auto"/>
        </w:rPr>
      </w:pPr>
    </w:p>
    <w:p>
      <w:pPr>
        <w:ind w:left="1160" w:hanging="274"/>
        <w:spacing w:after="0"/>
        <w:tabs>
          <w:tab w:leader="none" w:pos="1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direct conflict between interests of the Company, on the one hand, and those of the Board Observer or its Affiliates, on the other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w:t>
      </w:r>
    </w:p>
    <w:p>
      <w:pPr>
        <w:spacing w:after="0" w:line="153"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The Company will use its reasonable efforts to ensure that any withholding of information or any restriction on attendance is limited only to the extent necessary set forth in the preceding sentence. Notwithstanding anything in the foregoing to the contrary, the Company shall be entitled to take actions and establish procedures to the extent reasonably required to restrict the access of the Board Observer to any restricted national security data of the Company or of any other Person whose national security data is in the possession or control of the Company. The Board Observer shall not have any authority to bind the Company.</w:t>
      </w:r>
    </w:p>
    <w:p>
      <w:pPr>
        <w:spacing w:after="0" w:line="130" w:lineRule="exact"/>
        <w:rPr>
          <w:sz w:val="20"/>
          <w:szCs w:val="20"/>
          <w:color w:val="auto"/>
        </w:rPr>
      </w:pPr>
    </w:p>
    <w:p>
      <w:pPr>
        <w:jc w:val="both"/>
        <w:ind w:firstLine="454"/>
        <w:spacing w:after="0" w:line="261" w:lineRule="auto"/>
        <w:tabs>
          <w:tab w:leader="none" w:pos="7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permit the Initial Holders, at the Initial Holders’ expense and upon reasonable prior notice and such other reasonable conditions as requested by the Company, to visit and inspect the Company’s properties, to examine its books of account and records and to discuss its affairs, finances and accounts with such officers as are designated by the Company, all at such reasonable times as may be requested by the Initial Holders; provided, however, that the Company shall not be obligated pursuant to this Section 9(b) to provide access to any information which it</w:t>
      </w:r>
    </w:p>
    <w:p>
      <w:pPr>
        <w:sectPr>
          <w:pgSz w:w="11900" w:h="16838" w:orient="portrait"/>
          <w:cols w:equalWidth="0" w:num="1">
            <w:col w:w="11420"/>
          </w:cols>
          <w:pgMar w:left="240" w:top="445"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reasonably considers to be a trade secret or similar confidential information or such other information as is contemplated by Section 9(a) above.</w:t>
      </w:r>
    </w:p>
    <w:p>
      <w:pPr>
        <w:spacing w:after="0" w:line="171" w:lineRule="exact"/>
        <w:rPr>
          <w:sz w:val="20"/>
          <w:szCs w:val="20"/>
          <w:color w:val="auto"/>
        </w:rPr>
      </w:pPr>
    </w:p>
    <w:p>
      <w:pPr>
        <w:jc w:val="both"/>
        <w:ind w:firstLine="454"/>
        <w:spacing w:after="0" w:line="266" w:lineRule="auto"/>
        <w:tabs>
          <w:tab w:leader="none" w:pos="69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at such time as the aggregate amount of outstanding shares of Series A Preferred Stock Beneficially Owned by the Initial Holders is less than 50% of the shares of Series A Preferred Stock issued to the Initial Holders on the Original Issuance Date, the Initial Holders shall no longer be entitled to appoint the Board Observer under Section 9(a) or receive the information and access rights under Section 9(b).</w:t>
      </w:r>
    </w:p>
    <w:p>
      <w:pPr>
        <w:spacing w:after="0" w:line="122" w:lineRule="exact"/>
        <w:rPr>
          <w:sz w:val="20"/>
          <w:szCs w:val="20"/>
          <w:color w:val="auto"/>
        </w:rPr>
      </w:pPr>
    </w:p>
    <w:p>
      <w:pPr>
        <w:jc w:val="both"/>
        <w:ind w:firstLine="454"/>
        <w:spacing w:after="0" w:line="266" w:lineRule="auto"/>
        <w:tabs>
          <w:tab w:leader="none" w:pos="72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These Articles of Designation shall not be amended, either directly or indirectly, or through merger or consolidation with another entity or otherwise, in any manner that would alter or change the powers, preferences or special rights of the Series A Preferred Stock so as to affect them adversely without the affirmative vote of the Majority Holders, voting separately as a class.</w:t>
      </w:r>
    </w:p>
    <w:p>
      <w:pPr>
        <w:spacing w:after="0" w:line="122" w:lineRule="exact"/>
        <w:rPr>
          <w:rFonts w:ascii="Times New Roman" w:cs="Times New Roman" w:eastAsia="Times New Roman" w:hAnsi="Times New Roman"/>
          <w:sz w:val="18"/>
          <w:szCs w:val="18"/>
          <w:color w:val="auto"/>
        </w:rPr>
      </w:pPr>
    </w:p>
    <w:p>
      <w:pPr>
        <w:jc w:val="both"/>
        <w:ind w:firstLine="454"/>
        <w:spacing w:after="0" w:line="266" w:lineRule="auto"/>
        <w:tabs>
          <w:tab w:leader="none" w:pos="70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 of Other Rights</w:t>
      </w:r>
      <w:r>
        <w:rPr>
          <w:rFonts w:ascii="Times New Roman" w:cs="Times New Roman" w:eastAsia="Times New Roman" w:hAnsi="Times New Roman"/>
          <w:sz w:val="18"/>
          <w:szCs w:val="18"/>
          <w:color w:val="auto"/>
        </w:rPr>
        <w:t>. Except as may otherwise be required by law, the shares of Series A Preferred Stock shall not have any voting powers, preferences and relative, participating, optional or other special rights, other than those specifically set forth in this resolution (as such resolution may be amended from time to time) and in the Articles of Incorporation. The shares of Series A Preferred Stock shall have no preemptive or subscription rights.</w:t>
      </w:r>
    </w:p>
    <w:p>
      <w:pPr>
        <w:spacing w:after="0" w:line="122" w:lineRule="exact"/>
        <w:rPr>
          <w:rFonts w:ascii="Times New Roman" w:cs="Times New Roman" w:eastAsia="Times New Roman" w:hAnsi="Times New Roman"/>
          <w:sz w:val="18"/>
          <w:szCs w:val="18"/>
          <w:color w:val="auto"/>
        </w:rPr>
      </w:pPr>
    </w:p>
    <w:p>
      <w:pPr>
        <w:ind w:firstLine="454"/>
        <w:spacing w:after="0" w:line="282" w:lineRule="auto"/>
        <w:tabs>
          <w:tab w:leader="none" w:pos="7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of Subdivisions</w:t>
      </w:r>
      <w:r>
        <w:rPr>
          <w:rFonts w:ascii="Times New Roman" w:cs="Times New Roman" w:eastAsia="Times New Roman" w:hAnsi="Times New Roman"/>
          <w:sz w:val="18"/>
          <w:szCs w:val="18"/>
          <w:color w:val="auto"/>
        </w:rPr>
        <w:t>. The headings of the various subdivisions hereof are for convenience of reference only and shall not affect the interpretation of any of the provisions hereof.</w:t>
      </w:r>
    </w:p>
    <w:p>
      <w:pPr>
        <w:spacing w:after="0" w:line="161" w:lineRule="exact"/>
        <w:rPr>
          <w:rFonts w:ascii="Times New Roman" w:cs="Times New Roman" w:eastAsia="Times New Roman" w:hAnsi="Times New Roman"/>
          <w:sz w:val="18"/>
          <w:szCs w:val="18"/>
          <w:color w:val="auto"/>
        </w:rPr>
      </w:pPr>
    </w:p>
    <w:p>
      <w:pPr>
        <w:jc w:val="both"/>
        <w:ind w:firstLine="454"/>
        <w:spacing w:after="0" w:line="254" w:lineRule="auto"/>
        <w:tabs>
          <w:tab w:leader="none" w:pos="7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If any voting powers, preferences and relative, participating, optional and other special rights of the Series A Preferred Stock and qualifications, limitations and restrictions thereof set forth in this resolution (as such resolution may be amended from time to time) is invalid, unlawful or incapable of being enforced by reason of any rule of law or public policy, all other voting powers, preferences and relative, participating, optional and other special rights of Series A Preferred Stock and qualifications, limitations and restrictions thereof set forth in this resolution (as so amended) which can be given effect without the invalid, unlawful or unenforceable voting powers, preferences and relative, participating, optional or other special rights of Series A Preferred Stock and qualifications, limitations and restrictions thereof shall, nevertheless, remain in full force and effect and no voting powers, preferences and relative, participating, optional or other special rights of Series A Preferred Stock and qualifications, limitations and restrictions thereof herein set forth shall be deemed dependent upon any other such voting powers, preferences and relative, participating, optional or other special rights of Series A Preferred Stock and qualifications, limitations and restrictions thereof unless so expressed herein.</w:t>
      </w:r>
    </w:p>
    <w:p>
      <w:pPr>
        <w:spacing w:after="0" w:line="135" w:lineRule="exact"/>
        <w:rPr>
          <w:rFonts w:ascii="Times New Roman" w:cs="Times New Roman" w:eastAsia="Times New Roman" w:hAnsi="Times New Roman"/>
          <w:sz w:val="18"/>
          <w:szCs w:val="18"/>
          <w:color w:val="auto"/>
        </w:rPr>
      </w:pPr>
    </w:p>
    <w:p>
      <w:pPr>
        <w:jc w:val="both"/>
        <w:ind w:firstLine="454"/>
        <w:spacing w:after="0" w:line="258" w:lineRule="auto"/>
        <w:tabs>
          <w:tab w:leader="none" w:pos="7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Series A Preferred Stock</w:t>
      </w:r>
      <w:r>
        <w:rPr>
          <w:rFonts w:ascii="Times New Roman" w:cs="Times New Roman" w:eastAsia="Times New Roman" w:hAnsi="Times New Roman"/>
          <w:sz w:val="18"/>
          <w:szCs w:val="18"/>
          <w:color w:val="auto"/>
        </w:rPr>
        <w:t>. Shares of Series A Preferred Stock that have been issued and reacquired in any manner, including shares purchased or redeemed or exchanged or converted, shall (upon compliance with any applicable provisions of the laws of Florida) have the status of authorized but unissued shares of preferred stock of the Company undesignated as to series and may be designated or re-designated and issued or reissued, as the case may be, as part of any series of preferred stock of the Company, provided that any issuance of such shares as Series A Preferred Stock must be in compliance with the terms hereof.</w:t>
      </w:r>
    </w:p>
    <w:p>
      <w:pPr>
        <w:spacing w:after="0" w:line="129" w:lineRule="exact"/>
        <w:rPr>
          <w:rFonts w:ascii="Times New Roman" w:cs="Times New Roman" w:eastAsia="Times New Roman" w:hAnsi="Times New Roman"/>
          <w:sz w:val="18"/>
          <w:szCs w:val="18"/>
          <w:color w:val="auto"/>
        </w:rPr>
      </w:pPr>
    </w:p>
    <w:p>
      <w:pPr>
        <w:jc w:val="both"/>
        <w:ind w:firstLine="454"/>
        <w:spacing w:after="0" w:line="256" w:lineRule="auto"/>
        <w:tabs>
          <w:tab w:leader="none" w:pos="72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Mutilated or Missing Series A Preferred Stock Certificates</w:t>
      </w:r>
      <w:r>
        <w:rPr>
          <w:rFonts w:ascii="Times New Roman" w:cs="Times New Roman" w:eastAsia="Times New Roman" w:hAnsi="Times New Roman"/>
          <w:sz w:val="18"/>
          <w:szCs w:val="18"/>
          <w:color w:val="auto"/>
        </w:rPr>
        <w:t>. If physical certificates are issued for the Series A Preferred Stock and if any of such Series A Preferred Stock certificates shall be mutilated, lost, stolen or destroyed, the Company shall issue, at the holder’s expense, in exchange and in substitution for and upon cancellation of the mutilated Series A Preferred Stock certificate, or in lieu of and substitution for the Series A Preferred Stock certificate lost, stolen or destroyed, a new Series A Preferred Stock certificate of like tenor and representing an equivalent amount of shares of Series A Preferred Stock, but only upon receipt of evidence of such loss, theft or destruction of such Series A Preferred Stock certificate and indemnity, if requested, satisfactory to the Company and the Transfer Agent (if other than the Company).</w:t>
      </w:r>
    </w:p>
    <w:p>
      <w:pPr>
        <w:spacing w:after="0" w:line="133" w:lineRule="exact"/>
        <w:rPr>
          <w:rFonts w:ascii="Times New Roman" w:cs="Times New Roman" w:eastAsia="Times New Roman" w:hAnsi="Times New Roman"/>
          <w:sz w:val="18"/>
          <w:szCs w:val="18"/>
          <w:color w:val="auto"/>
        </w:rPr>
      </w:pPr>
    </w:p>
    <w:p>
      <w:pPr>
        <w:jc w:val="both"/>
        <w:ind w:firstLine="454"/>
        <w:spacing w:after="0" w:line="261" w:lineRule="auto"/>
        <w:tabs>
          <w:tab w:leader="none" w:pos="7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Conversion Agent, Registrar and Paying Agent</w:t>
      </w:r>
      <w:r>
        <w:rPr>
          <w:rFonts w:ascii="Times New Roman" w:cs="Times New Roman" w:eastAsia="Times New Roman" w:hAnsi="Times New Roman"/>
          <w:sz w:val="18"/>
          <w:szCs w:val="18"/>
          <w:color w:val="auto"/>
        </w:rPr>
        <w:t>. The Transfer Agent, conversion agent, registrar and paying agent shall initially be the Company. The Company may appoint a successor to any one or more of such roles (and may remove any such successor in accordance with any agreement with such successor and appoint a new successor). Upon any such removal or appointment, the Company shall notify the holders of the Series A Preferred Stock thereof.</w:t>
      </w:r>
    </w:p>
    <w:p>
      <w:pPr>
        <w:sectPr>
          <w:pgSz w:w="11900" w:h="16838" w:orient="portrait"/>
          <w:cols w:equalWidth="0" w:num="1">
            <w:col w:w="11420"/>
          </w:cols>
          <w:pgMar w:left="240" w:top="526" w:right="239" w:bottom="1440" w:gutter="0" w:footer="0" w:header="0"/>
        </w:sectPr>
      </w:pPr>
    </w:p>
    <w:bookmarkStart w:id="106" w:name="page107"/>
    <w:bookmarkEnd w:id="106"/>
    <w:p>
      <w:pPr>
        <w:jc w:val="both"/>
        <w:ind w:firstLine="454"/>
        <w:spacing w:after="0" w:line="266" w:lineRule="auto"/>
        <w:tabs>
          <w:tab w:leader="none" w:pos="7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All payments and distributions (or deemed distributions) on the shares of Series A Preferred Stock (and any shares of Common Stock issued upon conversion thereof) shall be subject to withholding and backup withholding of tax to the extent required by law, and such amounts withheld, if any, shall be treated as received by the holders of Series A Preferred Stock.</w:t>
      </w:r>
    </w:p>
    <w:p>
      <w:pPr>
        <w:spacing w:after="0" w:line="122" w:lineRule="exact"/>
        <w:rPr>
          <w:rFonts w:ascii="Times New Roman" w:cs="Times New Roman" w:eastAsia="Times New Roman" w:hAnsi="Times New Roman"/>
          <w:sz w:val="18"/>
          <w:szCs w:val="18"/>
          <w:color w:val="auto"/>
        </w:rPr>
      </w:pPr>
    </w:p>
    <w:p>
      <w:pPr>
        <w:jc w:val="both"/>
        <w:ind w:firstLine="454"/>
        <w:spacing w:after="0" w:line="266" w:lineRule="auto"/>
        <w:tabs>
          <w:tab w:leader="none" w:pos="72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Except to the extent expressly provided herein, any provision contained herein and any right of the holders of Series A Preferred Stock granted hereunder may be waived as to all shares of Series A Preferred Stock (and the holders thereof) upon the written consent of the Board (or an authorized committee thereof) and the Majority Holders.</w:t>
      </w:r>
    </w:p>
    <w:p>
      <w:pPr>
        <w:spacing w:after="0" w:line="176" w:lineRule="exact"/>
        <w:rPr>
          <w:rFonts w:ascii="Times New Roman" w:cs="Times New Roman" w:eastAsia="Times New Roman" w:hAnsi="Times New Roman"/>
          <w:sz w:val="18"/>
          <w:szCs w:val="18"/>
          <w:color w:val="auto"/>
        </w:rPr>
      </w:pPr>
    </w:p>
    <w:p>
      <w:pPr>
        <w:ind w:right="20" w:firstLine="454"/>
        <w:spacing w:after="0" w:line="282" w:lineRule="auto"/>
        <w:tabs>
          <w:tab w:leader="none" w:pos="72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these Articles of Designation, the following terms shall have the following meanings (with terms defined in the singular having comparable meanings when used in the plural and vice versa), unless the context otherwise requires:</w:t>
      </w:r>
    </w:p>
    <w:p>
      <w:pPr>
        <w:spacing w:after="0" w:line="108"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through one or more intermediaries or otherwise. For purposes hereof, “control” (including, with correlative meaning, the terms “controlled by” and “under common control with”) means the possession, direct or indirect, of the power to direct or cause the direction of the management or policies of such Person, whether through the ownership of voting securities, by contract or otherwise.</w:t>
      </w:r>
    </w:p>
    <w:p>
      <w:pPr>
        <w:spacing w:after="0" w:line="126"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means with respect to any securities having “beneficial ownership” of such securities (as determined pursuant to Rule 13d-3 under the Exchange Act).</w:t>
      </w:r>
    </w:p>
    <w:p>
      <w:pPr>
        <w:spacing w:after="0" w:line="108"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08" w:lineRule="exact"/>
        <w:rPr>
          <w:sz w:val="20"/>
          <w:szCs w:val="20"/>
          <w:color w:val="auto"/>
        </w:rPr>
      </w:pPr>
    </w:p>
    <w:p>
      <w:pPr>
        <w:jc w:val="both"/>
        <w:ind w:firstLine="44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 (a) any “person” or “group” (as such terms are used in Sections 13(d) and 14(d) of the Exchange Act), is or becomes the “beneficial owner” (as defined in Rules 13d-3 and 13d-5 under the Exchange Act, except that a person shall be deemed to have “beneficial ownership” of all securities that such person has the right to acquire, whether such right is exercisable immediately or only after the passage of time), directly or indirectly, of more than 50% of the total voting capital stock of the Company after the date hereof; (b) the Company consolidates with, or merges with or into, or enters into any other business combination with, another Person or sells, assigns, conveys, transfers, leases or otherwise disposes of all or substantially all of its assets to any Person, or any Person consolidates with, or merges with or into, the Company, in any such event in a transaction in which the outstanding voting capital stock of the Company is converted into or exchanged for cash, securities or other property, provided that following such transaction the holders of voting stock of the Company immediately prior to such transaction do not own more than 50% of the voting stock of the company surviving such transaction or to which such assets are transferred (unless the Majority Holders elect not to treat such transaction as a Change in Control), or (c) any merger, consolidation or other business combination of the Company with or into another Person that results in the cancellation of any shares of Series A Preferred Stock or that results in the conversion or exchange of any shares of Series A Preferred Stock into or for</w:t>
      </w:r>
    </w:p>
    <w:p>
      <w:pPr>
        <w:spacing w:after="0" w:line="5" w:lineRule="exact"/>
        <w:rPr>
          <w:sz w:val="20"/>
          <w:szCs w:val="20"/>
          <w:color w:val="auto"/>
        </w:rPr>
      </w:pPr>
    </w:p>
    <w:p>
      <w:pPr>
        <w:jc w:val="both"/>
        <w:ind w:firstLine="8"/>
        <w:spacing w:after="0" w:line="255" w:lineRule="auto"/>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any other class or series of capital stock of the Company, (2) capital stock of the Company or any other Person (or the right to receive any such capital stock), (3) any property (including, without limitation, cash and the right to receive cash or property) or (4) any combination of the foregoing (unless the Majority Holders elect not to treat such transaction as a Change in Control).</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$.01 per share, of the Company as presently constituted.</w:t>
      </w:r>
    </w:p>
    <w:p>
      <w:pPr>
        <w:spacing w:after="0" w:line="22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w:t>
      </w:r>
      <w:r>
        <w:rPr>
          <w:rFonts w:ascii="Times New Roman" w:cs="Times New Roman" w:eastAsia="Times New Roman" w:hAnsi="Times New Roman"/>
          <w:sz w:val="18"/>
          <w:szCs w:val="18"/>
          <w:color w:val="auto"/>
        </w:rPr>
        <w:t>” means any security or obligation which is by its terms, directly or indirectly, convertible into or exchangeable or exercisable for shares of Common Stock, including, without limitation, any option, warrant or other subscription or purchase right with respect to Common Stock or any Common Stock Equivalent.</w:t>
      </w:r>
    </w:p>
    <w:p>
      <w:pPr>
        <w:spacing w:after="0" w:line="122"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initially equal 110% of the lower of (a) $28.90 and (b) the Thirty Day VWAP prior to the Series A Preferred Stock Issue Date, and thereafter shall be subject to adjustment from time to time pursuant to the terms of Section 5 hereof.</w:t>
      </w:r>
    </w:p>
    <w:p>
      <w:pPr>
        <w:sectPr>
          <w:pgSz w:w="11900" w:h="16838" w:orient="portrait"/>
          <w:cols w:equalWidth="0" w:num="1">
            <w:col w:w="11420"/>
          </w:cols>
          <w:pgMar w:left="240" w:top="526" w:right="239" w:bottom="1440" w:gutter="0" w:footer="0" w:header="0"/>
        </w:sectPr>
      </w:pPr>
    </w:p>
    <w:bookmarkStart w:id="107" w:name="page108"/>
    <w:bookmarkEnd w:id="107"/>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per share of Common Stock on any day shall be deemed to be the average of the closing prices of the Common Stock for the twenty (20) consecutive Trading Days ending the day before the day in question, except with respect to issuances of Common Stock or Common Stock Equivalent to employees, directors and consultants, in which case Current Market Price shall be the fair market value of such Common Stock or Common Stock Equivalent on the date of issuance as calculated in accordance with standard Company practices.</w:t>
      </w:r>
    </w:p>
    <w:p>
      <w:pPr>
        <w:spacing w:after="0" w:line="126"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means the volume-weighted average price per share of Common Stock as displayed under the heading “Bloomberg VWAP” on the Bloomberg page for the “&lt;equity&gt; AQR” page corresponding to the “ticker” for such Common Stock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such Common Stock on such Trading Day. The “volume weighted average price” shall be determined without regard to after-hours trading or any other trading outside of the regular trading session trading hours.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FBCA</w:t>
      </w:r>
      <w:r>
        <w:rPr>
          <w:rFonts w:ascii="Times New Roman" w:cs="Times New Roman" w:eastAsia="Times New Roman" w:hAnsi="Times New Roman"/>
          <w:sz w:val="18"/>
          <w:szCs w:val="18"/>
          <w:color w:val="auto"/>
        </w:rPr>
        <w:t>” means the Florida Business Corporation Act, as amended.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Holders</w:t>
      </w:r>
      <w:r>
        <w:rPr>
          <w:rFonts w:ascii="Times New Roman" w:cs="Times New Roman" w:eastAsia="Times New Roman" w:hAnsi="Times New Roman"/>
          <w:sz w:val="18"/>
          <w:szCs w:val="18"/>
          <w:color w:val="auto"/>
        </w:rPr>
        <w:t>” means the recipients of the Series A Preferred Stock on the Series A Preferred Stock Issue Date.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$1,000 per share of Series A Preferred Stock.</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means the holders who at any point in time hold at least 50.1% of the then outstanding shares of the Series A Preferred Stock.</w:t>
      </w:r>
    </w:p>
    <w:p>
      <w:pPr>
        <w:spacing w:after="0" w:line="17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other entity of any kind.</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 transfer by the holder of Series A Preferred Stock in accordance with all applicable laws and regulations.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the recipient of a Permitted Transfer.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 Issue Date</w:t>
      </w:r>
      <w:r>
        <w:rPr>
          <w:rFonts w:ascii="Times New Roman" w:cs="Times New Roman" w:eastAsia="Times New Roman" w:hAnsi="Times New Roman"/>
          <w:sz w:val="18"/>
          <w:szCs w:val="18"/>
          <w:color w:val="auto"/>
        </w:rPr>
        <w:t>” means the date on which the Series A Preferred Stock was originally issued by the Company to the Initial Holders under these Articles of Designation.</w:t>
      </w:r>
    </w:p>
    <w:p>
      <w:pPr>
        <w:spacing w:after="0" w:line="108"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Thirty Day VWAP</w:t>
      </w:r>
      <w:r>
        <w:rPr>
          <w:rFonts w:ascii="Times New Roman" w:cs="Times New Roman" w:eastAsia="Times New Roman" w:hAnsi="Times New Roman"/>
          <w:sz w:val="18"/>
          <w:szCs w:val="18"/>
          <w:color w:val="auto"/>
        </w:rPr>
        <w:t>” means, with respect to a security, the average of the Daily VWAP of such security for each day during a thirty (30) consecutive Trading Day period ending immediately prior to the date of determination.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New York Stock Exchange or other applicable stock exchange or market is open for business.</w:t>
      </w:r>
    </w:p>
    <w:p>
      <w:pPr>
        <w:spacing w:after="0" w:line="17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as a noun, any voluntary or involuntary transfer, sale, pledge, hypothecation, gift, or other disposition and, as a verb, voluntarily or involuntarily to transfer, sell, pledge, hypothecate, give, or otherwise dispose of. A Transfer of shares of Series A Preferred Stock held by a stockholder shall also include any Transfer of such stockholder or any direct or indirect interest in a stockholder that constitutes a direct or indirect change of control of the stockholder.</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be the Company unless and until a successor is selected by the Company as provided herein.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Company has caused these Articles of Amendment to be executed by its duly authorized officer.</w:t>
      </w:r>
    </w:p>
    <w:p>
      <w:pPr>
        <w:sectPr>
          <w:pgSz w:w="11900" w:h="16838" w:orient="portrait"/>
          <w:cols w:equalWidth="0" w:num="1">
            <w:col w:w="11420"/>
          </w:cols>
          <w:pgMar w:left="240" w:top="526"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Dated: December 13,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333" w:lineRule="exact"/>
        <w:rPr>
          <w:sz w:val="20"/>
          <w:szCs w:val="20"/>
          <w:color w:val="auto"/>
        </w:rPr>
      </w:pPr>
    </w:p>
    <w:p>
      <w:pPr>
        <w:ind w:left="682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71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57" w:lineRule="exact"/>
        <w:rPr>
          <w:sz w:val="20"/>
          <w:szCs w:val="20"/>
          <w:color w:val="auto"/>
        </w:rPr>
      </w:pPr>
    </w:p>
    <w:p>
      <w:pPr>
        <w:ind w:left="7280"/>
        <w:spacing w:after="0"/>
        <w:tabs>
          <w:tab w:leader="none" w:pos="8020" w:val="left"/>
        </w:tabs>
        <w:rPr>
          <w:sz w:val="20"/>
          <w:szCs w:val="20"/>
          <w:color w:val="auto"/>
        </w:rPr>
      </w:pPr>
      <w:r>
        <w:rPr>
          <w:rFonts w:ascii="Times New Roman" w:cs="Times New Roman" w:eastAsia="Times New Roman" w:hAnsi="Times New Roman"/>
          <w:sz w:val="18"/>
          <w:szCs w:val="18"/>
          <w:color w:val="auto"/>
        </w:rPr>
        <w:t>Name:</w:t>
        <w:tab/>
        <w:t>John V. Britti</w:t>
      </w:r>
    </w:p>
    <w:p>
      <w:pPr>
        <w:spacing w:after="0" w:line="63" w:lineRule="exact"/>
        <w:rPr>
          <w:sz w:val="20"/>
          <w:szCs w:val="20"/>
          <w:color w:val="auto"/>
        </w:rPr>
      </w:pPr>
    </w:p>
    <w:p>
      <w:pPr>
        <w:ind w:left="7280"/>
        <w:spacing w:after="0"/>
        <w:tabs>
          <w:tab w:leader="none" w:pos="8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0219"/>
          </w:cols>
          <w:pgMar w:left="240" w:top="526"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61" w:lineRule="auto"/>
        <w:tabs>
          <w:tab w:leader="none" w:pos="12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August 3, 2017</w:t>
      </w:r>
      <w:r>
        <w:rPr>
          <w:sz w:val="20"/>
          <w:szCs w:val="20"/>
          <w:color w:val="auto"/>
        </w:rPr>
        <w:tab/>
      </w:r>
      <w:r>
        <w:rPr>
          <w:rFonts w:ascii="Times New Roman" w:cs="Times New Roman" w:eastAsia="Times New Roman" w:hAnsi="Times New Roman"/>
          <w:sz w:val="17"/>
          <w:szCs w:val="17"/>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Ronald M. Faris, President</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420"/>
          </w:cols>
          <w:pgMar w:left="240" w:top="860"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82" w:lineRule="auto"/>
        <w:tabs>
          <w:tab w:leader="none" w:pos="12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August 3, 2017</w:t>
      </w:r>
      <w:r>
        <w:rPr>
          <w:sz w:val="20"/>
          <w:szCs w:val="20"/>
          <w:color w:val="auto"/>
        </w:rPr>
        <w:tab/>
      </w:r>
      <w:r>
        <w:rPr>
          <w:rFonts w:ascii="Times New Roman" w:cs="Times New Roman" w:eastAsia="Times New Roman" w:hAnsi="Times New Roman"/>
          <w:sz w:val="17"/>
          <w:szCs w:val="17"/>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Michael R. Bourque, Jr., Executive Vice President</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860"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Chief Executive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June 30, 2017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3, 2017</w:t>
            </w:r>
          </w:p>
        </w:tc>
      </w:tr>
    </w:tbl>
    <w:p>
      <w:pPr>
        <w:sectPr>
          <w:pgSz w:w="11900" w:h="16838" w:orient="portrait"/>
          <w:cols w:equalWidth="0" w:num="1">
            <w:col w:w="11420"/>
          </w:cols>
          <w:pgMar w:left="240" w:top="860"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Chief Financial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June 30, 2017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3, 2017</w:t>
            </w:r>
          </w:p>
        </w:tc>
      </w:tr>
    </w:tbl>
    <w:p>
      <w:pPr>
        <w:spacing w:after="0" w:line="1" w:lineRule="exact"/>
        <w:rPr>
          <w:sz w:val="20"/>
          <w:szCs w:val="20"/>
          <w:color w:val="auto"/>
        </w:rPr>
      </w:pPr>
    </w:p>
    <w:sectPr>
      <w:pgSz w:w="11900" w:h="16838" w:orient="portrait"/>
      <w:cols w:equalWidth="0" w:num="1">
        <w:col w:w="11420"/>
      </w:cols>
      <w:pgMar w:left="240" w:top="8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o"/>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6"/>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6"/>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upperLetter"/>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4"/>
    </w:lvl>
  </w:abstractNum>
  <w:abstractNum w:abstractNumId="44">
    <w:nsid w:val="2F305DEF"/>
    <w:multiLevelType w:val="hybridMultilevel"/>
    <w:lvl w:ilvl="0">
      <w:lvlJc w:val="left"/>
      <w:lvlText w:val="(%1)"/>
      <w:numFmt w:val="upperLetter"/>
      <w:start w:val="2"/>
    </w:lvl>
  </w:abstractNum>
  <w:abstractNum w:abstractNumId="45">
    <w:nsid w:val="25A70BF7"/>
    <w:multiLevelType w:val="hybridMultilevel"/>
    <w:lvl w:ilvl="0">
      <w:lvlJc w:val="left"/>
      <w:lvlText w:val="%1."/>
      <w:numFmt w:val="upperLetter"/>
      <w:start w:val="1"/>
    </w:lvl>
  </w:abstractNum>
  <w:abstractNum w:abstractNumId="46">
    <w:nsid w:val="1DBABF00"/>
    <w:multiLevelType w:val="hybridMultilevel"/>
    <w:lvl w:ilvl="0">
      <w:lvlJc w:val="left"/>
      <w:lvlText w:val="%1"/>
      <w:numFmt w:val="upperLetter"/>
      <w:start w:val="1"/>
    </w:lvl>
    <w:lvl w:ilvl="1">
      <w:lvlJc w:val="left"/>
      <w:lvlText w:val="%2."/>
      <w:numFmt w:val="upperLetter"/>
      <w:start w:val="3"/>
    </w:lvl>
  </w:abstractNum>
  <w:abstractNum w:abstractNumId="47">
    <w:nsid w:val="4AD084E9"/>
    <w:multiLevelType w:val="hybridMultilevel"/>
    <w:lvl w:ilvl="0">
      <w:lvlJc w:val="left"/>
      <w:lvlText w:val="%1."/>
      <w:numFmt w:val="upperLetter"/>
      <w:start w:val="4"/>
    </w:lvl>
    <w:lvl w:ilvl="1">
      <w:lvlJc w:val="left"/>
      <w:lvlText w:val="%2"/>
      <w:numFmt w:val="upperLetter"/>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3"/>
    </w:lvl>
  </w:abstractNum>
  <w:abstractNum w:abstractNumId="50">
    <w:nsid w:val="5DB70AE5"/>
    <w:multiLevelType w:val="hybridMultilevel"/>
    <w:lvl w:ilvl="0">
      <w:lvlJc w:val="left"/>
      <w:lvlText w:val="%1"/>
      <w:numFmt w:val="decimal"/>
      <w:start w:val="1"/>
    </w:lvl>
    <w:lvl w:ilvl="1">
      <w:lvlJc w:val="left"/>
      <w:lvlText w:val="(%2)"/>
      <w:numFmt w:val="lowerLetter"/>
      <w:start w:val="1"/>
    </w:lvl>
  </w:abstractNum>
  <w:abstractNum w:abstractNumId="51">
    <w:nsid w:val="100F8FCA"/>
    <w:multiLevelType w:val="hybridMultilevel"/>
    <w:lvl w:ilvl="0">
      <w:lvlJc w:val="left"/>
      <w:lvlText w:val="(%1)"/>
      <w:numFmt w:val="decimal"/>
      <w:start w:val="30"/>
    </w:lvl>
    <w:lvl w:ilvl="1">
      <w:lvlJc w:val="left"/>
      <w:lvlText w:val="%2"/>
      <w:numFmt w:val="lowerLetter"/>
      <w:start w:val="1"/>
    </w:lvl>
  </w:abstractNum>
  <w:abstractNum w:abstractNumId="52">
    <w:nsid w:val="6590700B"/>
    <w:multiLevelType w:val="hybridMultilevel"/>
    <w:lvl w:ilvl="0">
      <w:lvlJc w:val="left"/>
      <w:lvlText w:val="(%1)"/>
      <w:numFmt w:val="lowerLetter"/>
      <w:start w:val="5"/>
    </w:lvl>
  </w:abstractNum>
  <w:abstractNum w:abstractNumId="53">
    <w:nsid w:val="15014ACB"/>
    <w:multiLevelType w:val="hybridMultilevel"/>
    <w:lvl w:ilvl="0">
      <w:lvlJc w:val="left"/>
      <w:lvlText w:val="%1."/>
      <w:numFmt w:val="decimal"/>
      <w:start w:val="4"/>
    </w:lvl>
  </w:abstractNum>
  <w:abstractNum w:abstractNumId="54">
    <w:nsid w:val="5F5E7FD0"/>
    <w:multiLevelType w:val="hybridMultilevel"/>
    <w:lvl w:ilvl="0">
      <w:lvlJc w:val="left"/>
      <w:lvlText w:val="%1"/>
      <w:numFmt w:val="upperLetter"/>
      <w:start w:val="1"/>
    </w:lvl>
    <w:lvl w:ilvl="1">
      <w:lvlJc w:val="left"/>
      <w:lvlText w:val="(%2)"/>
      <w:numFmt w:val="lowerLetter"/>
      <w:start w:val="1"/>
    </w:lvl>
  </w:abstractNum>
  <w:abstractNum w:abstractNumId="55">
    <w:nsid w:val="98A3148"/>
    <w:multiLevelType w:val="hybridMultilevel"/>
    <w:lvl w:ilvl="0">
      <w:lvlJc w:val="left"/>
      <w:lvlText w:val="(%1)"/>
      <w:numFmt w:val="upperLetter"/>
      <w:start w:val="2"/>
    </w:lvl>
    <w:lvl w:ilvl="1">
      <w:lvlJc w:val="left"/>
      <w:lvlText w:val="(%2)"/>
      <w:numFmt w:val="lowerLetter"/>
      <w:start w:val="3"/>
    </w:lvl>
  </w:abstractNum>
  <w:abstractNum w:abstractNumId="56">
    <w:nsid w:val="799D0247"/>
    <w:multiLevelType w:val="hybridMultilevel"/>
    <w:lvl w:ilvl="0">
      <w:lvlJc w:val="left"/>
      <w:lvlText w:val="(%1)"/>
      <w:numFmt w:val="lowerLetter"/>
      <w:start w:val="5"/>
    </w:lvl>
  </w:abstractNum>
  <w:abstractNum w:abstractNumId="57">
    <w:nsid w:val="6B94764"/>
    <w:multiLevelType w:val="hybridMultilevel"/>
    <w:lvl w:ilvl="0">
      <w:lvlJc w:val="left"/>
      <w:lvlText w:val="%1"/>
      <w:numFmt w:val="lowerLetter"/>
      <w:start w:val="1"/>
    </w:lvl>
    <w:lvl w:ilvl="1">
      <w:lvlJc w:val="left"/>
      <w:lvlText w:val="(%2)"/>
      <w:numFmt w:val="lowerLetter"/>
      <w:start w:val="8"/>
    </w:lvl>
  </w:abstractNum>
  <w:abstractNum w:abstractNumId="58">
    <w:nsid w:val="42C296BD"/>
    <w:multiLevelType w:val="hybridMultilevel"/>
    <w:lvl w:ilvl="0">
      <w:lvlJc w:val="left"/>
      <w:lvlText w:val="(%1)"/>
      <w:numFmt w:val="lowerLetter"/>
      <w:start w:val="2"/>
    </w:lvl>
    <w:lvl w:ilvl="1">
      <w:lvlJc w:val="left"/>
      <w:lvlText w:val="%2"/>
      <w:numFmt w:val="lowerLetter"/>
      <w:start w:val="1"/>
    </w:lvl>
  </w:abstractNum>
  <w:abstractNum w:abstractNumId="59">
    <w:nsid w:val="168E121F"/>
    <w:multiLevelType w:val="hybridMultilevel"/>
    <w:lvl w:ilvl="0">
      <w:lvlJc w:val="left"/>
      <w:lvlText w:val="%1"/>
      <w:numFmt w:val="upperLetter"/>
      <w:start w:val="1"/>
    </w:lvl>
    <w:lvl w:ilvl="1">
      <w:lvlJc w:val="left"/>
      <w:lvlText w:val="(%2)"/>
      <w:numFmt w:val="lowerLetter"/>
      <w:start w:val="11"/>
    </w:lvl>
  </w:abstractNum>
  <w:abstractNum w:abstractNumId="60">
    <w:nsid w:val="1EBA5D23"/>
    <w:multiLevelType w:val="hybridMultilevel"/>
    <w:lvl w:ilvl="0">
      <w:lvlJc w:val="left"/>
      <w:lvlText w:val="(%1)"/>
      <w:numFmt w:val="upperLetter"/>
      <w:start w:val="3"/>
    </w:lvl>
    <w:lvl w:ilvl="1">
      <w:lvlJc w:val="left"/>
      <w:lvlText w:val="%2"/>
      <w:numFmt w:val="lowerLetter"/>
      <w:start w:val="1"/>
    </w:lvl>
  </w:abstractNum>
  <w:abstractNum w:abstractNumId="61">
    <w:nsid w:val="661E3F1E"/>
    <w:multiLevelType w:val="hybridMultilevel"/>
    <w:lvl w:ilvl="0">
      <w:lvlJc w:val="left"/>
      <w:lvlText w:val="(%1)"/>
      <w:numFmt w:val="lowerLetter"/>
      <w:start w:val="18"/>
    </w:lvl>
  </w:abstractNum>
  <w:abstractNum w:abstractNumId="62">
    <w:nsid w:val="5DC79EA8"/>
    <w:multiLevelType w:val="hybridMultilevel"/>
    <w:lvl w:ilvl="0">
      <w:lvlJc w:val="left"/>
      <w:lvlText w:val="%1."/>
      <w:numFmt w:val="decimal"/>
      <w:start w:val="6"/>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decimal"/>
      <w:start w:val="7"/>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67">
    <w:nsid w:val="BF72B14"/>
    <w:multiLevelType w:val="hybridMultilevel"/>
    <w:lvl w:ilvl="0">
      <w:lvlJc w:val="left"/>
      <w:lvlText w:val="%1"/>
      <w:numFmt w:val="lowerLetter"/>
      <w:start w:val="1"/>
    </w:lvl>
    <w:lvl w:ilvl="1">
      <w:lvlJc w:val="left"/>
      <w:lvlText w:val="(%2)"/>
      <w:numFmt w:val="lowerLetter"/>
      <w:start w:val="61"/>
    </w:lvl>
  </w:abstractNum>
  <w:abstractNum w:abstractNumId="68">
    <w:nsid w:val="11447B73"/>
    <w:multiLevelType w:val="hybridMultilevel"/>
    <w:lvl w:ilvl="0">
      <w:lvlJc w:val="left"/>
      <w:lvlText w:val="(%1)"/>
      <w:numFmt w:val="lowerLetter"/>
      <w:start w:val="3"/>
    </w:lvl>
    <w:lvl w:ilvl="1">
      <w:lvlJc w:val="left"/>
      <w:lvlText w:val="%2"/>
      <w:numFmt w:val="lowerLetter"/>
      <w:start w:val="1"/>
    </w:lvl>
  </w:abstractNum>
  <w:abstractNum w:abstractNumId="69">
    <w:nsid w:val="42963E5A"/>
    <w:multiLevelType w:val="hybridMultilevel"/>
    <w:lvl w:ilvl="0">
      <w:lvlJc w:val="left"/>
      <w:lvlText w:val="(%1)"/>
      <w:numFmt w:val="lowerLetter"/>
      <w:start w:val="6"/>
    </w:lvl>
  </w:abstractNum>
  <w:abstractNum w:abstractNumId="70">
    <w:nsid w:val="A0382C5"/>
    <w:multiLevelType w:val="hybridMultilevel"/>
    <w:lvl w:ilvl="0">
      <w:lvlJc w:val="left"/>
      <w:lvlText w:val="%1."/>
      <w:numFmt w:val="decimal"/>
      <w:start w:val="8"/>
    </w:lvl>
  </w:abstractNum>
  <w:abstractNum w:abstractNumId="71">
    <w:nsid w:val="8F2B15E"/>
    <w:multiLevelType w:val="hybridMultilevel"/>
    <w:lvl w:ilvl="0">
      <w:lvlJc w:val="left"/>
      <w:lvlText w:val="(%1)"/>
      <w:numFmt w:val="lowerLetter"/>
      <w:start w:val="1"/>
    </w:lvl>
    <w:lvl w:ilvl="1">
      <w:lvlJc w:val="left"/>
      <w:lvlText w:val="(%2)"/>
      <w:numFmt w:val="lowerRoman"/>
      <w:start w:val="1"/>
    </w:lvl>
  </w:abstractNum>
  <w:abstractNum w:abstractNumId="72">
    <w:nsid w:val="1A32234B"/>
    <w:multiLevelType w:val="hybridMultilevel"/>
    <w:lvl w:ilvl="0">
      <w:lvlJc w:val="left"/>
      <w:lvlText w:val="%1"/>
      <w:numFmt w:val="lowerLetter"/>
      <w:start w:val="1"/>
    </w:lvl>
    <w:lvl w:ilvl="1">
      <w:lvlJc w:val="left"/>
      <w:lvlText w:val="(%2)"/>
      <w:numFmt w:val="lowerRoman"/>
      <w:start w:val="1"/>
    </w:lvl>
  </w:abstractNum>
  <w:abstractNum w:abstractNumId="73">
    <w:nsid w:val="3B0FD379"/>
    <w:multiLevelType w:val="hybridMultilevel"/>
    <w:lvl w:ilvl="0">
      <w:lvlJc w:val="left"/>
      <w:lvlText w:val="(%1)"/>
      <w:numFmt w:val="lowerLetter"/>
      <w:start w:val="4"/>
    </w:lvl>
    <w:lvl w:ilvl="1">
      <w:lvlJc w:val="left"/>
      <w:lvlText w:val="%2"/>
      <w:numFmt w:val="lowerRoman"/>
      <w:start w:val="1"/>
    </w:lvl>
  </w:abstractNum>
  <w:abstractNum w:abstractNumId="74">
    <w:nsid w:val="68EB2F63"/>
    <w:multiLevelType w:val="hybridMultilevel"/>
    <w:lvl w:ilvl="0">
      <w:lvlJc w:val="left"/>
      <w:lvlText w:val="%1."/>
      <w:numFmt w:val="decimal"/>
      <w:start w:val="9"/>
    </w:lvl>
  </w:abstractNum>
  <w:abstractNum w:abstractNumId="75">
    <w:nsid w:val="4962813B"/>
    <w:multiLevelType w:val="hybridMultilevel"/>
    <w:lvl w:ilvl="0">
      <w:lvlJc w:val="left"/>
      <w:lvlText w:val="(%1)"/>
      <w:numFmt w:val="lowerLetter"/>
      <w:start w:val="1"/>
    </w:lvl>
    <w:lvl w:ilvl="1">
      <w:lvlJc w:val="left"/>
      <w:lvlText w:val="(%2)"/>
      <w:numFmt w:val="decimal"/>
      <w:start w:val="1"/>
    </w:lvl>
  </w:abstractNum>
  <w:abstractNum w:abstractNumId="76">
    <w:nsid w:val="60B6DF70"/>
    <w:multiLevelType w:val="hybridMultilevel"/>
    <w:lvl w:ilvl="0">
      <w:lvlJc w:val="left"/>
      <w:lvlText w:val="(%1)"/>
      <w:numFmt w:val="lowerLetter"/>
      <w:start w:val="2"/>
    </w:lvl>
  </w:abstractNum>
  <w:abstractNum w:abstractNumId="77">
    <w:nsid w:val="6A5EE64"/>
    <w:multiLevelType w:val="hybridMultilevel"/>
    <w:lvl w:ilvl="0">
      <w:lvlJc w:val="left"/>
      <w:lvlText w:val="(%1)"/>
      <w:numFmt w:val="lowerLetter"/>
      <w:start w:val="3"/>
    </w:lvl>
  </w:abstractNum>
  <w:abstractNum w:abstractNumId="78">
    <w:nsid w:val="14330624"/>
    <w:multiLevelType w:val="hybridMultilevel"/>
    <w:lvl w:ilvl="0">
      <w:lvlJc w:val="left"/>
      <w:lvlText w:val="%1."/>
      <w:numFmt w:val="decimal"/>
      <w:start w:val="10"/>
    </w:lvl>
  </w:abstractNum>
  <w:abstractNum w:abstractNumId="79">
    <w:nsid w:val="7FFFCA11"/>
    <w:multiLevelType w:val="hybridMultilevel"/>
    <w:lvl w:ilvl="0">
      <w:lvlJc w:val="left"/>
      <w:lvlText w:val="%1."/>
      <w:numFmt w:val="decimal"/>
      <w:start w:val="17"/>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
      <w:numFmt w:val="bullet"/>
      <w:start w:val="1"/>
    </w:lvl>
  </w:abstractNum>
  <w:abstractNum w:abstractNumId="84">
    <w:nsid w:val="6EB5BD4"/>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10" Type="http://schemas.openxmlformats.org/officeDocument/2006/relationships/hyperlink" Target="http://www.sec.gov/Archives/edgar/data/873860/000101905616001130/ex3_1.htm" TargetMode="External"/><Relationship Id="rId11" Type="http://schemas.openxmlformats.org/officeDocument/2006/relationships/hyperlink" Target="http://www.sec.gov/Archives/edgar/data/873860/000101905617000495/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2019-12-29T05:09:39Z</dcterms:created>
  <dcterms:modified xsi:type="dcterms:W3CDTF">2019-12-29T05:09:39Z</dcterms:modified>
</cp:coreProperties>
</file>