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Washington, D.C. 20549</w:t>
      </w: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0" w:lineRule="exact"/>
        <w:rPr>
          <w:rFonts w:ascii="MS PGothic" w:cs="MS PGothic" w:eastAsia="MS PGothic" w:hAnsi="MS PGothic"/>
          <w:sz w:val="18"/>
          <w:szCs w:val="18"/>
          <w:color w:val="auto"/>
        </w:rPr>
      </w:pPr>
    </w:p>
    <w:p>
      <w:pPr>
        <w:ind w:left="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60" w:right="2320" w:hanging="352"/>
        <w:spacing w:after="0" w:line="461" w:lineRule="auto"/>
        <w:tabs>
          <w:tab w:leader="none" w:pos="369"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_____________________to _____________________</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1-13219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u w:val="single" w:color="auto"/>
          <w:color w:val="auto"/>
        </w:rPr>
        <w:t>Ocwen Financial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4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3"/>
              </w:rPr>
              <w:t>Florida</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89"/>
              </w:rPr>
              <w:t>65-0039856</w:t>
            </w: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300" w:type="dxa"/>
            <w:vAlign w:val="bottom"/>
            <w:gridSpan w:val="3"/>
          </w:tcPr>
          <w:p>
            <w:pPr>
              <w:jc w:val="center"/>
              <w:ind w:right="1920"/>
              <w:spacing w:after="0"/>
              <w:rPr>
                <w:sz w:val="20"/>
                <w:szCs w:val="20"/>
                <w:color w:val="auto"/>
              </w:rPr>
            </w:pPr>
            <w:r>
              <w:rPr>
                <w:rFonts w:ascii="Arial" w:cs="Arial" w:eastAsia="Arial" w:hAnsi="Arial"/>
                <w:sz w:val="18"/>
                <w:szCs w:val="18"/>
                <w:color w:val="auto"/>
                <w:w w:val="92"/>
              </w:rPr>
              <w:t>(State or other jurisdiction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of incorporation or organization)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5"/>
              </w:rPr>
              <w:t>Identification No.)</w:t>
            </w:r>
          </w:p>
        </w:tc>
      </w:tr>
    </w:tbl>
    <w:p>
      <w:pPr>
        <w:spacing w:after="0" w:line="89" w:lineRule="exact"/>
        <w:rPr>
          <w:sz w:val="24"/>
          <w:szCs w:val="24"/>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2002 Summit Boulevard, 6</w:t>
      </w:r>
      <w:r>
        <w:rPr>
          <w:rFonts w:ascii="Arial" w:cs="Arial" w:eastAsia="Arial" w:hAnsi="Arial"/>
          <w:sz w:val="30"/>
          <w:szCs w:val="30"/>
          <w:b w:val="1"/>
          <w:bCs w:val="1"/>
          <w:u w:val="single" w:color="auto"/>
          <w:color w:val="auto"/>
          <w:vertAlign w:val="superscript"/>
        </w:rPr>
        <w:t>th</w:t>
      </w:r>
      <w:r>
        <w:rPr>
          <w:rFonts w:ascii="Arial" w:cs="Arial" w:eastAsia="Arial" w:hAnsi="Arial"/>
          <w:sz w:val="18"/>
          <w:szCs w:val="18"/>
          <w:b w:val="1"/>
          <w:bCs w:val="1"/>
          <w:u w:val="single" w:color="auto"/>
          <w:color w:val="auto"/>
        </w:rPr>
        <w:t xml:space="preserve"> Floor, Atlanta, Georgia 30319</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495" w:right="279" w:bottom="1440" w:gutter="0" w:footer="0" w:header="0"/>
        </w:sectPr>
      </w:pPr>
    </w:p>
    <w:p>
      <w:pPr>
        <w:spacing w:after="0" w:line="106" w:lineRule="exact"/>
        <w:rPr>
          <w:sz w:val="24"/>
          <w:szCs w:val="24"/>
          <w:color w:val="auto"/>
        </w:rPr>
      </w:pPr>
    </w:p>
    <w:p>
      <w:pPr>
        <w:ind w:left="76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both"/>
        <w:ind w:firstLine="765"/>
        <w:spacing w:after="0" w:line="342" w:lineRule="auto"/>
        <w:rPr>
          <w:sz w:val="20"/>
          <w:szCs w:val="20"/>
          <w:color w:val="auto"/>
        </w:rPr>
      </w:pPr>
      <w:r>
        <w:rPr>
          <w:rFonts w:ascii="Arial" w:cs="Arial" w:eastAsia="Arial" w:hAnsi="Arial"/>
          <w:sz w:val="16"/>
          <w:szCs w:val="16"/>
          <w:color w:val="auto"/>
        </w:rPr>
        <w:t>Accelerated filer 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83" w:lineRule="exact"/>
        <w:rPr>
          <w:sz w:val="24"/>
          <w:szCs w:val="24"/>
          <w:color w:val="auto"/>
        </w:rPr>
      </w:pPr>
    </w:p>
    <w:p>
      <w:pPr>
        <w:sectPr>
          <w:pgSz w:w="11900" w:h="16838" w:orient="portrait"/>
          <w:cols w:equalWidth="0" w:num="4">
            <w:col w:w="2360" w:space="160"/>
            <w:col w:w="4440" w:space="720"/>
            <w:col w:w="1980" w:space="140"/>
            <w:col w:w="1580"/>
          </w:cols>
          <w:pgMar w:left="240" w:top="495"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May 3, 2013: 135,643,647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19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10-Q</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80" w:type="dxa"/>
            <w:vAlign w:val="bottom"/>
            <w:gridSpan w:val="4"/>
          </w:tcPr>
          <w:p>
            <w:pPr>
              <w:spacing w:after="0"/>
              <w:rPr>
                <w:sz w:val="24"/>
                <w:szCs w:val="24"/>
                <w:color w:val="auto"/>
              </w:rPr>
            </w:pP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280" w:type="dxa"/>
            <w:vAlign w:val="bottom"/>
            <w:gridSpan w:val="9"/>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 at March 31, 2013 and December 31, 2012</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March 31, 2013 and 2012</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(unaudited) for the Three Months Ended March 31, 2013 and 2012</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Changes in Stockholders’ Equity (unaudited) for the Three Months Ended March 31, 2013 and 2012</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Three Months Ended March 31, 2013 and 2012</w:t>
              </w:r>
            </w:hyperlink>
          </w:p>
        </w:tc>
        <w:tc>
          <w:tcPr>
            <w:tcW w:w="1520" w:type="dxa"/>
            <w:vAlign w:val="bottom"/>
            <w:tcBorders>
              <w:top w:val="single" w:sz="8" w:color="0000EE"/>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Unaudited Interim Consolidated Financial Statements</w:t>
              </w:r>
            </w:hyperlink>
          </w:p>
        </w:tc>
        <w:tc>
          <w:tcPr>
            <w:tcW w:w="5180" w:type="dxa"/>
            <w:vAlign w:val="bottom"/>
            <w:gridSpan w:val="7"/>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2.</w:t>
              </w:r>
            </w:hyperlink>
          </w:p>
        </w:tc>
        <w:tc>
          <w:tcPr>
            <w:tcW w:w="260" w:type="dxa"/>
            <w:vAlign w:val="bottom"/>
            <w:gridSpan w:val="3"/>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3.</w:t>
              </w:r>
            </w:hyperlink>
          </w:p>
        </w:tc>
        <w:tc>
          <w:tcPr>
            <w:tcW w:w="260" w:type="dxa"/>
            <w:vAlign w:val="bottom"/>
            <w:gridSpan w:val="3"/>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Quantitative and Qualitative Disclosures About Market Risk</w:t>
              </w:r>
            </w:hyperlink>
          </w:p>
        </w:tc>
        <w:tc>
          <w:tcPr>
            <w:tcW w:w="5340" w:type="dxa"/>
            <w:vAlign w:val="bottom"/>
            <w:gridSpan w:val="8"/>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57</w:t>
            </w:r>
          </w:p>
        </w:tc>
      </w:tr>
      <w:tr>
        <w:trPr>
          <w:trHeight w:val="412"/>
        </w:trPr>
        <w:tc>
          <w:tcPr>
            <w:tcW w:w="520" w:type="dxa"/>
            <w:vAlign w:val="bottom"/>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4.</w:t>
              </w:r>
            </w:hyperlink>
          </w:p>
        </w:tc>
        <w:tc>
          <w:tcPr>
            <w:tcW w:w="280" w:type="dxa"/>
            <w:vAlign w:val="bottom"/>
            <w:gridSpan w:val="4"/>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0500" w:type="dxa"/>
            <w:vAlign w:val="bottom"/>
            <w:gridSpan w:val="21"/>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 OTHER INFORMATION</w:t>
              </w:r>
            </w:hyperlink>
          </w:p>
        </w:tc>
        <w:tc>
          <w:tcPr>
            <w:tcW w:w="92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1.</w:t>
              </w:r>
            </w:hyperlink>
          </w:p>
        </w:tc>
        <w:tc>
          <w:tcPr>
            <w:tcW w:w="260" w:type="dxa"/>
            <w:vAlign w:val="bottom"/>
            <w:tcBorders>
              <w:top w:val="single" w:sz="8" w:color="0000EE"/>
            </w:tcBorders>
            <w:gridSpan w:val="3"/>
          </w:tcPr>
          <w:p>
            <w:pPr>
              <w:spacing w:after="0"/>
              <w:rPr>
                <w:sz w:val="24"/>
                <w:szCs w:val="24"/>
                <w:color w:val="auto"/>
              </w:rPr>
            </w:pPr>
          </w:p>
        </w:tc>
        <w:tc>
          <w:tcPr>
            <w:tcW w:w="2060" w:type="dxa"/>
            <w:vAlign w:val="bottom"/>
            <w:tcBorders>
              <w:top w:val="single" w:sz="8" w:color="0000EE"/>
            </w:tcBorders>
            <w:gridSpan w:val="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7640" w:type="dxa"/>
            <w:vAlign w:val="bottom"/>
            <w:gridSpan w:val="11"/>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38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1A.</w:t>
              </w:r>
            </w:hyperlink>
          </w:p>
        </w:tc>
        <w:tc>
          <w:tcPr>
            <w:tcW w:w="970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800" w:type="dxa"/>
            <w:vAlign w:val="bottom"/>
            <w:gridSpan w:val="14"/>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412"/>
        </w:trPr>
        <w:tc>
          <w:tcPr>
            <w:tcW w:w="800" w:type="dxa"/>
            <w:vAlign w:val="bottom"/>
            <w:gridSpan w:val="5"/>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460"/>
        </w:trPr>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10"/>
          </w:tcPr>
          <w:p>
            <w:pPr>
              <w:ind w:left="486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6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132" w:lineRule="exact"/>
        <w:rPr>
          <w:sz w:val="20"/>
          <w:szCs w:val="20"/>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248" w:lineRule="exact"/>
        <w:rPr>
          <w:rFonts w:ascii="Arial" w:cs="Arial" w:eastAsia="Arial" w:hAnsi="Arial"/>
          <w:sz w:val="16"/>
          <w:szCs w:val="16"/>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19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Further information on the risks specific to our business is detailed within this report and our other reports and filings with the Securities and Exchange Commission (SEC) including our Annual Report on Form 10-K for the year ended December 31, 2012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jc w:val="center"/>
              <w:ind w:left="3030"/>
              <w:spacing w:after="0"/>
              <w:rPr>
                <w:sz w:val="20"/>
                <w:szCs w:val="20"/>
                <w:color w:val="auto"/>
              </w:rPr>
            </w:pPr>
            <w:r>
              <w:rPr>
                <w:rFonts w:ascii="Arial" w:cs="Arial" w:eastAsia="Arial" w:hAnsi="Arial"/>
                <w:sz w:val="18"/>
                <w:szCs w:val="18"/>
                <w:b w:val="1"/>
                <w:bCs w:val="1"/>
                <w:color w:val="auto"/>
              </w:rPr>
              <w:t>OCWEN FINANCIAL CORPORATION AND SUBSIDIARIES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88"/>
              </w:rPr>
              <w:t>(Dollars in thousands, except share data)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Cash</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663,405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220,130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fair value</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295,514</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426,480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530,172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Match funded advances</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3,436,083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3,049,244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Mortgage servicing rights, at 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1,052,168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676,712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84,534</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85,213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155,558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167,459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95,137</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92,136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503,617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58,863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37,536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Debt service accounts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134,157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238,807</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272,678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7,248,015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Liabilities, Mezzanine Equity and Stockholders’ Equity</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Match funded liabilities</w:t>
            </w:r>
          </w:p>
        </w:tc>
        <w:tc>
          <w:tcPr>
            <w:tcW w:w="260" w:type="dxa"/>
            <w:vAlign w:val="bottom"/>
            <w:gridSpan w:val="2"/>
            <w:shd w:val="clear" w:color="auto" w:fill="CCEECC"/>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2,982,984</w:t>
            </w: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2,532,745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Other borrowings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1,987,894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1,096,679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471,007</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277,664</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5,441,885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3,907,088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140"/>
              <w:spacing w:after="0"/>
              <w:rPr>
                <w:sz w:val="20"/>
                <w:szCs w:val="20"/>
                <w:color w:val="auto"/>
              </w:rPr>
            </w:pPr>
            <w:r>
              <w:rPr>
                <w:rFonts w:ascii="Arial" w:cs="Arial" w:eastAsia="Arial" w:hAnsi="Arial"/>
                <w:sz w:val="18"/>
                <w:szCs w:val="18"/>
                <w:b w:val="1"/>
                <w:bCs w:val="1"/>
                <w:color w:val="auto"/>
              </w:rPr>
              <w:t>Commitments and Contingencies (Note 24)</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Mezzanine Equity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2"/>
              </w:rPr>
              <w:t>Series A Perpetual Convertible Preferred stock, $.01 par value; 200,000 shares authorized; 162,000 shares</w:t>
            </w:r>
          </w:p>
        </w:tc>
        <w:tc>
          <w:tcPr>
            <w:tcW w:w="1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460"/>
              <w:spacing w:after="0"/>
              <w:rPr>
                <w:sz w:val="20"/>
                <w:szCs w:val="20"/>
                <w:color w:val="auto"/>
              </w:rPr>
            </w:pPr>
            <w:r>
              <w:rPr>
                <w:rFonts w:ascii="Arial" w:cs="Arial" w:eastAsia="Arial" w:hAnsi="Arial"/>
                <w:sz w:val="18"/>
                <w:szCs w:val="18"/>
                <w:color w:val="auto"/>
                <w:w w:val="97"/>
              </w:rPr>
              <w:t>issued and outstanding at March 31, 2013 and December 31, 2012; redemption value $162,000 plus</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40" w:type="dxa"/>
            <w:vAlign w:val="bottom"/>
            <w:shd w:val="clear" w:color="auto" w:fill="CCEECC"/>
          </w:tcPr>
          <w:p>
            <w:pPr>
              <w:ind w:left="460"/>
              <w:spacing w:after="0"/>
              <w:rPr>
                <w:sz w:val="20"/>
                <w:szCs w:val="20"/>
                <w:color w:val="auto"/>
              </w:rPr>
            </w:pPr>
            <w:r>
              <w:rPr>
                <w:rFonts w:ascii="Arial" w:cs="Arial" w:eastAsia="Arial" w:hAnsi="Arial"/>
                <w:sz w:val="18"/>
                <w:szCs w:val="18"/>
                <w:color w:val="auto"/>
              </w:rPr>
              <w:t>accrued and unpaid dividends</w:t>
            </w:r>
          </w:p>
        </w:tc>
        <w:tc>
          <w:tcPr>
            <w:tcW w:w="10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154,458</w:t>
            </w:r>
          </w:p>
        </w:tc>
        <w:tc>
          <w:tcPr>
            <w:tcW w:w="2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153,372</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7"/>
              </w:rPr>
              <w:t>Common stock, $.01 par value; 200,000,000 shares authorized; 135,643,647 and 135,637,932 shares</w:t>
            </w:r>
          </w:p>
        </w:tc>
        <w:tc>
          <w:tcPr>
            <w:tcW w:w="1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CC"/>
          </w:tcPr>
          <w:p>
            <w:pPr>
              <w:ind w:left="460"/>
              <w:spacing w:after="0"/>
              <w:rPr>
                <w:sz w:val="20"/>
                <w:szCs w:val="20"/>
                <w:color w:val="auto"/>
              </w:rPr>
            </w:pPr>
            <w:r>
              <w:rPr>
                <w:rFonts w:ascii="Arial" w:cs="Arial" w:eastAsia="Arial" w:hAnsi="Arial"/>
                <w:sz w:val="18"/>
                <w:szCs w:val="18"/>
                <w:color w:val="auto"/>
              </w:rPr>
              <w:t>issued and outstanding at March 31, 2013 and December 31, 2012, respectively</w:t>
            </w:r>
          </w:p>
        </w:tc>
        <w:tc>
          <w:tcPr>
            <w:tcW w:w="1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913,295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911,942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747,141</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704,565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Accumulated other comprehensive loss, net of income taxes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(10,120)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1,651,672</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11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1,611,422</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20"/>
              <w:spacing w:after="0"/>
              <w:rPr>
                <w:sz w:val="20"/>
                <w:szCs w:val="20"/>
                <w:color w:val="auto"/>
              </w:rPr>
            </w:pPr>
            <w:r>
              <w:rPr>
                <w:rFonts w:ascii="Arial" w:cs="Arial" w:eastAsia="Arial" w:hAnsi="Arial"/>
                <w:sz w:val="18"/>
                <w:szCs w:val="18"/>
                <w:color w:val="auto"/>
              </w:rPr>
              <w:t>Total liabilities, mezzanine equity and stockholders’ equity</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7,248,015</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rPr>
              <w:t>OCWEN FINANCIAL CORPORATION AND SUBSIDIARIES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369,309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Gain on loans held for sale, net</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6,749</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30,601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CC"/>
            </w:tcBorders>
            <w:gridSpan w:val="2"/>
            <w:shd w:val="clear" w:color="auto" w:fill="CCEECC"/>
          </w:tcPr>
          <w:p>
            <w:pPr>
              <w:ind w:left="3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406,659</w:t>
            </w: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164,546</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94,626</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30,783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Amortization of servicing rights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47,883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Servicing and origination</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23,913</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Technology and communications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30,012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14,065</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18,249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14,778</w:t>
            </w: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163,133</w:t>
            </w: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78,419</w:t>
            </w:r>
          </w:p>
        </w:tc>
        <w:tc>
          <w:tcPr>
            <w:tcW w:w="0" w:type="dxa"/>
            <w:vAlign w:val="bottom"/>
          </w:tcPr>
          <w:p>
            <w:pPr>
              <w:spacing w:after="0"/>
              <w:rPr>
                <w:sz w:val="1"/>
                <w:szCs w:val="1"/>
                <w:color w:val="auto"/>
              </w:rPr>
            </w:pPr>
          </w:p>
        </w:tc>
      </w:tr>
      <w:tr>
        <w:trPr>
          <w:trHeight w:val="426"/>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5,185</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(93,416)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Loss on debt redemption</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(17,030)</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CC"/>
            </w:tcBorders>
            <w:gridSpan w:val="2"/>
            <w:shd w:val="clear" w:color="auto" w:fill="CCEECC"/>
          </w:tcPr>
          <w:p>
            <w:pPr>
              <w:ind w:left="300"/>
              <w:spacing w:after="0"/>
              <w:rPr>
                <w:sz w:val="20"/>
                <w:szCs w:val="20"/>
                <w:color w:val="auto"/>
              </w:rPr>
            </w:pPr>
            <w:r>
              <w:rPr>
                <w:rFonts w:ascii="Arial" w:cs="Arial" w:eastAsia="Arial" w:hAnsi="Arial"/>
                <w:sz w:val="18"/>
                <w:szCs w:val="18"/>
                <w:color w:val="auto"/>
              </w:rPr>
              <w:t>Other expense, net</w:t>
            </w:r>
          </w:p>
        </w:tc>
        <w:tc>
          <w:tcPr>
            <w:tcW w:w="10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(111,798</w:t>
            </w:r>
          </w:p>
        </w:tc>
        <w:tc>
          <w:tcPr>
            <w:tcW w:w="260" w:type="dxa"/>
            <w:vAlign w:val="bottom"/>
            <w:tcBorders>
              <w:top w:val="single" w:sz="8" w:color="CCEECC"/>
            </w:tcBorders>
            <w:shd w:val="clear" w:color="auto" w:fill="CCEECC"/>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(48,300</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82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51,335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6,188</w:t>
            </w: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Deemed dividend related to beneficial conversion feature of preferred stock</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42,576</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C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0.31</w:t>
            </w:r>
          </w:p>
        </w:tc>
        <w:tc>
          <w:tcPr>
            <w:tcW w:w="4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CC"/>
              <w:bottom w:val="single" w:sz="8" w:color="CCEECC"/>
            </w:tcBorders>
            <w:gridSpan w:val="2"/>
            <w:vMerge w:val="restart"/>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CC"/>
              <w:bottom w:val="single" w:sz="8" w:color="CCEECC"/>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CCEECC"/>
              <w:bottom w:val="single" w:sz="8" w:color="CCEECC"/>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bottom w:val="single" w:sz="8" w:color="CCEE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2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135,638,567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130,649,595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139,559,157</w:t>
            </w: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138,046,270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CC"/>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45,147</w:t>
            </w:r>
          </w:p>
        </w:tc>
        <w:tc>
          <w:tcPr>
            <w:tcW w:w="4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426"/>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Unrealized foreign currency translation income (loss) arising during the period</w:t>
            </w:r>
          </w:p>
        </w:tc>
        <w:tc>
          <w:tcPr>
            <w:tcW w:w="36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Change in deferred loss on cash flow hedges arising during the period (1)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(4,126)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Reclassification adjustment for losses on cash flow hedges included in net income (2)</w:t>
            </w:r>
          </w:p>
        </w:tc>
        <w:tc>
          <w:tcPr>
            <w:tcW w:w="36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Net change in deferred loss on cash flow hedges</w:t>
            </w: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Total other comprehensive income, net of income taxes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(3,679)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CC"/>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41,468</w:t>
            </w:r>
          </w:p>
        </w:tc>
        <w:tc>
          <w:tcPr>
            <w:tcW w:w="4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CCEE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CCEE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$2.8 million and $0.7 million for the three months ended March 31, 2013 and 2012, respectively.</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of income tax benefit (expense) of $(0.2) million and $(2.4) million for the three months ended March 31, 2013 and 2012, respectively.</w:t>
      </w:r>
    </w:p>
    <w:p>
      <w:pPr>
        <w:spacing w:after="0" w:line="196" w:lineRule="exact"/>
        <w:rPr>
          <w:rFonts w:ascii="Arial" w:cs="Arial" w:eastAsia="Arial" w:hAnsi="Arial"/>
          <w:sz w:val="17"/>
          <w:szCs w:val="17"/>
          <w:color w:val="auto"/>
        </w:rPr>
      </w:pPr>
    </w:p>
    <w:p>
      <w:pPr>
        <w:ind w:left="2540"/>
        <w:spacing w:after="0"/>
        <w:rPr>
          <w:rFonts w:ascii="Arial" w:cs="Arial" w:eastAsia="Arial" w:hAnsi="Arial"/>
          <w:sz w:val="17"/>
          <w:szCs w:val="17"/>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ind w:left="180"/>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90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1"/>
                <w:szCs w:val="21"/>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Loss,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Earnings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Net of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2012</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w w:val="97"/>
              </w:rPr>
              <w:t>135,637,932</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911,942</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704,565</w:t>
            </w:r>
          </w:p>
        </w:tc>
        <w:tc>
          <w:tcPr>
            <w:tcW w:w="260" w:type="dxa"/>
            <w:vAlign w:val="bottom"/>
            <w:shd w:val="clear" w:color="auto" w:fill="CCEECC"/>
          </w:tcPr>
          <w:p>
            <w:pPr>
              <w:spacing w:after="0"/>
              <w:rPr>
                <w:sz w:val="18"/>
                <w:szCs w:val="18"/>
                <w:color w:val="auto"/>
              </w:rPr>
            </w:pPr>
          </w:p>
        </w:tc>
        <w:tc>
          <w:tcPr>
            <w:tcW w:w="30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(6,441)</w:t>
            </w:r>
          </w:p>
        </w:tc>
        <w:tc>
          <w:tcPr>
            <w:tcW w:w="4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1,611,422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45,147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Preferred stock dividends ($9.17</w:t>
            </w:r>
          </w:p>
        </w:tc>
        <w:tc>
          <w:tcPr>
            <w:tcW w:w="10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CC"/>
          </w:tcPr>
          <w:p>
            <w:pPr>
              <w:ind w:left="240"/>
              <w:spacing w:after="0"/>
              <w:rPr>
                <w:sz w:val="20"/>
                <w:szCs w:val="20"/>
                <w:color w:val="auto"/>
              </w:rPr>
            </w:pPr>
            <w:r>
              <w:rPr>
                <w:rFonts w:ascii="Arial" w:cs="Arial" w:eastAsia="Arial" w:hAnsi="Arial"/>
                <w:sz w:val="18"/>
                <w:szCs w:val="18"/>
                <w:color w:val="auto"/>
              </w:rPr>
              <w:t>per share</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1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Deemed dividend related to</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beneficial conversion feature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of preferred stock</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Issuance of employee stock</w:t>
            </w:r>
          </w:p>
        </w:tc>
        <w:tc>
          <w:tcPr>
            <w:tcW w:w="10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CC"/>
          </w:tcPr>
          <w:p>
            <w:pPr>
              <w:ind w:left="240"/>
              <w:spacing w:after="0"/>
              <w:rPr>
                <w:sz w:val="20"/>
                <w:szCs w:val="20"/>
                <w:color w:val="auto"/>
              </w:rPr>
            </w:pPr>
            <w:r>
              <w:rPr>
                <w:rFonts w:ascii="Arial" w:cs="Arial" w:eastAsia="Arial" w:hAnsi="Arial"/>
                <w:sz w:val="18"/>
                <w:szCs w:val="18"/>
                <w:color w:val="auto"/>
              </w:rPr>
              <w:t>award</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Equity-based compensation</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Other comprehensive income,</w:t>
            </w:r>
          </w:p>
        </w:tc>
        <w:tc>
          <w:tcPr>
            <w:tcW w:w="10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shd w:val="clear" w:color="auto" w:fill="CCEECC"/>
          </w:tcPr>
          <w:p>
            <w:pPr>
              <w:ind w:left="240"/>
              <w:spacing w:after="0"/>
              <w:rPr>
                <w:sz w:val="20"/>
                <w:szCs w:val="20"/>
                <w:color w:val="auto"/>
              </w:rPr>
            </w:pPr>
            <w:r>
              <w:rPr>
                <w:rFonts w:ascii="Arial" w:cs="Arial" w:eastAsia="Arial" w:hAnsi="Arial"/>
                <w:sz w:val="18"/>
                <w:szCs w:val="18"/>
                <w:color w:val="auto"/>
              </w:rPr>
              <w:t>net of income taxes</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1"/>
                <w:szCs w:val="21"/>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1"/>
                <w:szCs w:val="21"/>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1"/>
                <w:szCs w:val="21"/>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Balance at March 31, 2013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135,643,647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913,295</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1,651,672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2011</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w w:val="97"/>
              </w:rPr>
              <w:t>129,899,288</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826,121</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523,787</w:t>
            </w:r>
          </w:p>
        </w:tc>
        <w:tc>
          <w:tcPr>
            <w:tcW w:w="260" w:type="dxa"/>
            <w:vAlign w:val="bottom"/>
            <w:shd w:val="clear" w:color="auto" w:fill="CCEECC"/>
          </w:tcPr>
          <w:p>
            <w:pPr>
              <w:spacing w:after="0"/>
              <w:rPr>
                <w:sz w:val="18"/>
                <w:szCs w:val="18"/>
                <w:color w:val="auto"/>
              </w:rPr>
            </w:pPr>
          </w:p>
        </w:tc>
        <w:tc>
          <w:tcPr>
            <w:tcW w:w="30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(7,896)</w:t>
            </w:r>
          </w:p>
        </w:tc>
        <w:tc>
          <w:tcPr>
            <w:tcW w:w="4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1,343,311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19,349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Conversion of 3.25%</w:t>
            </w:r>
          </w:p>
        </w:tc>
        <w:tc>
          <w:tcPr>
            <w:tcW w:w="100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CC"/>
          </w:tcPr>
          <w:p>
            <w:pPr>
              <w:ind w:left="240"/>
              <w:spacing w:after="0"/>
              <w:rPr>
                <w:sz w:val="20"/>
                <w:szCs w:val="20"/>
                <w:color w:val="auto"/>
              </w:rPr>
            </w:pPr>
            <w:r>
              <w:rPr>
                <w:rFonts w:ascii="Arial" w:cs="Arial" w:eastAsia="Arial" w:hAnsi="Arial"/>
                <w:sz w:val="18"/>
                <w:szCs w:val="18"/>
                <w:color w:val="auto"/>
              </w:rPr>
              <w:t>Convertible Notes</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4,635,159</w:t>
            </w:r>
          </w:p>
        </w:tc>
        <w:tc>
          <w:tcPr>
            <w:tcW w:w="14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CC"/>
          </w:tcPr>
          <w:p>
            <w:pPr>
              <w:spacing w:after="0"/>
              <w:rPr>
                <w:sz w:val="20"/>
                <w:szCs w:val="20"/>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56,364</w:t>
            </w:r>
          </w:p>
        </w:tc>
        <w:tc>
          <w:tcPr>
            <w:tcW w:w="120" w:type="dxa"/>
            <w:vAlign w:val="bottom"/>
            <w:shd w:val="clear" w:color="auto" w:fill="CCEECC"/>
          </w:tcPr>
          <w:p>
            <w:pPr>
              <w:spacing w:after="0"/>
              <w:rPr>
                <w:sz w:val="20"/>
                <w:szCs w:val="20"/>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Exercise of common stock</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options</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313,028</w:t>
            </w:r>
          </w:p>
        </w:tc>
        <w:tc>
          <w:tcPr>
            <w:tcW w:w="1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CC"/>
          </w:tcPr>
          <w:p>
            <w:pPr>
              <w:ind w:left="60"/>
              <w:spacing w:after="0"/>
              <w:rPr>
                <w:sz w:val="20"/>
                <w:szCs w:val="20"/>
                <w:color w:val="auto"/>
              </w:rPr>
            </w:pPr>
            <w:r>
              <w:rPr>
                <w:rFonts w:ascii="Arial" w:cs="Arial" w:eastAsia="Arial" w:hAnsi="Arial"/>
                <w:sz w:val="18"/>
                <w:szCs w:val="18"/>
                <w:color w:val="auto"/>
              </w:rPr>
              <w:t>Equity-based compensation</w:t>
            </w: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net of income taxes</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3,074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Balance at March 31, 2012</w:t>
            </w: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134,847,475</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1,348</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886,351</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543,136</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(4,822</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1,426,013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The Three Months Ended March 31,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45,147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47,883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Amortization of debt issuance costs – senior secured term loans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4,513</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Loss on sales of loans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Realized and unrealized losses on derivative financial instruments,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5,736</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17,030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Increase in deferred tax assets,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Origination and purchase of loans held for sale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(2,515,084)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Proceeds from sale and collection of loans held for sale</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2,629,152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Decrease in advances and match funded advances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186,420</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318,386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Decrease (increase) in receivables and other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(47,860)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Increase in servicer liabilities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6,472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Increase (decrease) in other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7,720</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(2,097,821)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Purchase of mortgage servicing rights,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Proceeds from sale of match funded advances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713,582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Proceeds from sale of subsidiaries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86,950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Net cash acquired in step acquisition of Correspondent One S.A.</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22,108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Distributions of capital from unconsolidated entities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(4,201)</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(1,279,053</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79,838</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Net proceeds from match funded liabilities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450,239</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Net proceeds from other borrowings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3,778,876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Repayment of other borrowings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(2,985,417)</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Payment of debt issuance costs – senior secured term loan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100,737</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Redemption of 10.875% Capital Securities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Exercise of common stock options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1,320,387</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86,864</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at end of period</w:t>
      </w:r>
    </w:p>
    <w:p>
      <w:pPr>
        <w:spacing w:after="0" w:line="20" w:lineRule="exact"/>
        <w:rPr>
          <w:sz w:val="20"/>
          <w:szCs w:val="20"/>
          <w:color w:val="auto"/>
        </w:rPr>
      </w:pPr>
      <w:r>
        <w:rPr>
          <w:sz w:val="20"/>
          <w:szCs w:val="20"/>
          <w:color w:val="auto"/>
        </w:rPr>
        <w:br w:type="column"/>
      </w:r>
    </w:p>
    <w:p>
      <w:pPr>
        <w:jc w:val="both"/>
        <w:ind w:left="440"/>
        <w:spacing w:after="0"/>
        <w:tabs>
          <w:tab w:leader="none" w:pos="1880" w:val="left"/>
        </w:tabs>
        <w:rPr>
          <w:sz w:val="20"/>
          <w:szCs w:val="20"/>
          <w:color w:val="auto"/>
        </w:rPr>
      </w:pPr>
      <w:r>
        <w:rPr>
          <w:rFonts w:ascii="Arial" w:cs="Arial" w:eastAsia="Arial" w:hAnsi="Arial"/>
          <w:sz w:val="18"/>
          <w:szCs w:val="18"/>
          <w:color w:val="auto"/>
        </w:rPr>
        <w:t>443,275</w:t>
      </w:r>
      <w:r>
        <w:rPr>
          <w:sz w:val="20"/>
          <w:szCs w:val="20"/>
          <w:color w:val="auto"/>
        </w:rPr>
        <w:tab/>
      </w:r>
      <w:r>
        <w:rPr>
          <w:rFonts w:ascii="Arial" w:cs="Arial" w:eastAsia="Arial" w:hAnsi="Arial"/>
          <w:sz w:val="18"/>
          <w:szCs w:val="18"/>
          <w:color w:val="auto"/>
        </w:rPr>
        <w:t>539,712</w:t>
      </w:r>
    </w:p>
    <w:p>
      <w:pPr>
        <w:spacing w:after="0" w:line="23" w:lineRule="exact"/>
        <w:rPr>
          <w:sz w:val="20"/>
          <w:szCs w:val="20"/>
          <w:color w:val="auto"/>
        </w:rPr>
      </w:pPr>
    </w:p>
    <w:p>
      <w:pPr>
        <w:jc w:val="both"/>
        <w:ind w:left="440"/>
        <w:spacing w:after="0"/>
        <w:tabs>
          <w:tab w:leader="none" w:pos="1880" w:val="left"/>
        </w:tabs>
        <w:rPr>
          <w:sz w:val="20"/>
          <w:szCs w:val="20"/>
          <w:color w:val="auto"/>
        </w:rPr>
      </w:pPr>
      <w:r>
        <w:rPr>
          <w:rFonts w:ascii="Arial" w:cs="Arial" w:eastAsia="Arial" w:hAnsi="Arial"/>
          <w:sz w:val="18"/>
          <w:szCs w:val="18"/>
          <w:color w:val="auto"/>
        </w:rPr>
        <w:t>220,130</w:t>
      </w:r>
      <w:r>
        <w:rPr>
          <w:sz w:val="20"/>
          <w:szCs w:val="20"/>
          <w:color w:val="auto"/>
        </w:rPr>
        <w:tab/>
      </w:r>
      <w:r>
        <w:rPr>
          <w:rFonts w:ascii="Arial" w:cs="Arial" w:eastAsia="Arial" w:hAnsi="Arial"/>
          <w:sz w:val="18"/>
          <w:szCs w:val="18"/>
          <w:color w:val="auto"/>
        </w:rPr>
        <w:t>144,234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-130810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tabs>
          <w:tab w:leader="none" w:pos="420" w:val="left"/>
          <w:tab w:leader="none" w:pos="146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663,405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683,946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661" w:right="239"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Conversion of 3.25% Convertible Notes to common stock</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Fair value of assets acquired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Advances</w:t>
            </w:r>
          </w:p>
        </w:tc>
        <w:tc>
          <w:tcPr>
            <w:tcW w:w="520" w:type="dxa"/>
            <w:vAlign w:val="bottom"/>
            <w:gridSpan w:val="2"/>
            <w:shd w:val="clear" w:color="auto" w:fill="CCEECC"/>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(1,622,348)</w:t>
            </w:r>
          </w:p>
        </w:tc>
        <w:tc>
          <w:tcPr>
            <w:tcW w:w="4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(393,891)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Premises and equipment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(22,398)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(204,743)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Receivables and other assets</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(2,989)</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(2,246,369)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Fair value of liabilities assumed</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74,340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consideration</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3"/>
              </w:rPr>
              <w:t>(2,172,029)</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Amount due to seller for purchase price adjustments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74,208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Cash paid</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3"/>
              </w:rPr>
              <w:t>(2,097,821)</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Less cash acquired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Net cash paid</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(2,097,821</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16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1</w:t>
        <w:tab/>
        <w:t>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89"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Ocwen Financial Corporation (NYSE: OCN) (Ocwen, OCN, “we”, or “us”) is a financial services holding company which, through its subsidiaries, is engaged in the servicing and origination of mortgage loans. Ocwen is headquartered in Atlanta, Georgia with offices in Florida, New Jersey, Pennsylvania, Texas, United States Virgin Islands (USVI) and Washington, DC and support operations in India and Uruguay. Ocwen is a Florida corporation organized in February 1988. Ocwen Loan Servicing, LLC (OLS), a wholly-owned subsidiary, is licensed to service mortgage loans in all fifty states, the District of Columbia and two U.S. territories. Homeward Residential, Inc. (Homeward), a wholly-owned subsidiary, is licensed to originate mortgage loans in 47 U.S. jurisdictions, including the District of Columbia and Puerto Rico.</w:t>
      </w:r>
    </w:p>
    <w:p>
      <w:pPr>
        <w:spacing w:after="0" w:line="13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At March 31, 2013, Ocwen directly or indirectly owned all of the outstanding stock of its primary operating subsidiaries: Homeward, OLS, Ocwen Financial Solutions Private Limited and Ocwen Mortgage Servicing, Inc. (OMS).</w:t>
      </w:r>
    </w:p>
    <w:p>
      <w:pPr>
        <w:spacing w:after="0" w:line="14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February 15, 2013, OLS completed the acquisition of certain assets and operations of Residential Capital, LLC (ResCap), an indirect subsidiary of Ally Financial, Inc. (Ally), in connection with the asset sale by ResCap and certain of its subsidiaries pursuant to a plan under Chapter 11 of the Bankruptcy Code (the ResCap Acquisition). We purchased mortgage servicing rights (MSRs) related to “private label”, Federal Home Loan Mortgage Corporation (Freddie Mac) and Government National Mortgage Association (Ginnie Mae) residential mortgage loans and master and sub-servicing agreements. The ResCap Acquisition included the related advances and related elements of the servicing platform for the MSRs and advances. This transaction did not involve the transfer of ownership of any legal entities.</w:t>
      </w:r>
    </w:p>
    <w:p>
      <w:pPr>
        <w:spacing w:after="0" w:line="15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December 27, 2012, Ocwen completed the merger by and among Ocwen, O&amp;H Acquisition Corp., a Delaware corporation and a wholly-owned subsidiary of Ocwen, Homeward Residential Holdings, Inc. (Homeward Holding) and WL Ross &amp; Co. LLC, a Delaware limited liability company as shareholder representative, pursuant to which O&amp;H Acquisition Corp. merged with and into Homeward Holding with Homeward Holding continuing as the surviving corporation and becoming a wholly-owned subsidiary of Ocwen (the Homeward Acquisition). Homeward engages in the servicing of residential mortgage loans, the majority of which are nonprime, and also originates prime loans.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interim consolidated financial statements contain all adjustments, consisting only of normal recurring accruals, necessary for a fair presentation. The results of operations and other data for the three months ended March 31, 2013 are not necessarily indicative of the results that may be expected for any other interim period or for the year ending December 31, 2013. The unaudited interim consolidated financial statements presented herein should be read in conjunction with the audited consolidated financial statements and related notes thereto included in our Annual Report on Form 10-K for the year ended December 31, 2012.</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 Material estimates that are particularly significant in the near or medium term relate to fair value measurements, the provision for potential losses that may arise from litigation proceedings, the amortization of MSRs and the valuation of goodwill and deferred tax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its majority-owned subsidiaries and any variable interest entity (VIE) where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 We have eliminated intercompany accounts and transactions in consolidation.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Variable Interest Entities</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 SPE meets the definition of a VIE and we determine that Ocwen is the primary beneficiary, we include the SPE in our consolidated financial statements.</w:t>
      </w:r>
    </w:p>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determined that the SPEs created in connection with our match funded financing facilities are VIEs of which we are the primary beneficiary. We also determined that we were the primary beneficiary for four residential mortgage loan securitization trusts.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and Asset Backed Financing Arrangements</w:t>
      </w:r>
    </w:p>
    <w:p>
      <w:pPr>
        <w:spacing w:after="0" w:line="18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securitize, sell and service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15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Currently, we securitize and sell residential mortgage loans involving Ginnie Mae, Freddie Mac and</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National Mortgage Association (Fannie Mae). We retain the right to service these loans and receive servicing fees based upon the securitized loan balances and certain ancillary fees, all of which are reported in servicing and subservicing fees on the Consolidated Statements of Operations. In prior years, we securitized residential mortgage loans through “private label” securitization trusts. We continued to be involved with the securitization trusts, typically by acting as the servicer or sub-servicer for the loans held by the trust and by retaining a beneficial ownership interest in the securitization trust. The beneficial interests that we held consisted of both subordinate and residual securities that were either retained at the time of the securitization or subsequently acquired. We held beneficial interests in five of these trusts. We also acquired residual and subordinated interests in six additional trusts where we were not the transferor but were the servicer.</w:t>
      </w:r>
    </w:p>
    <w:p>
      <w:pPr>
        <w:spacing w:after="0" w:line="152"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In December 2012, we sold the beneficial interests that we held in the four consolidated securitization trusts and deconsolidated these securitization trusts. We also sold our retained interests in two of the seven unconsolidated securitization trusts. The beneficial interests that we hold in the five remaining unconsolidated securitization trusts have no value and no potential for significant cash flows in the future. In addition, at March 31, 2013, we had no other significant assets in our unaudited interim consolidated financial statements related to these securitization trusts. We have no obligation to provide financial support to unconsolidated securitization trusts and have provided no such support. The beneficial owners of the trusts can look only to the assets of the securitization trusts for satisfaction of the debt issued by the securitization trusts and have no recourse against the assets of Ocwen. The general creditors of Ocwen have no claim on the assets of the trusts.</w:t>
      </w:r>
    </w:p>
    <w:p>
      <w:pPr>
        <w:spacing w:after="0" w:line="13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i w:val="1"/>
          <w:iCs w:val="1"/>
          <w:color w:val="auto"/>
        </w:rPr>
        <w:t xml:space="preserve">Financings of Advances on Loans Serviced for Others. </w:t>
      </w:r>
      <w:r>
        <w:rPr>
          <w:rFonts w:ascii="Arial" w:cs="Arial" w:eastAsia="Arial" w:hAnsi="Arial"/>
          <w:sz w:val="18"/>
          <w:szCs w:val="18"/>
          <w:color w:val="auto"/>
        </w:rPr>
        <w:t>Match funded advances on loans serviced for others result from our transfers of residential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advances to SPEs in exchange for cash. We consolidate these SPEs because the transfers do not qualify for sales accounting treatment or because Ocwen is the primary beneficiary of the SPE.</w:t>
      </w:r>
    </w:p>
    <w:p>
      <w:pPr>
        <w:spacing w:after="0" w:line="15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SPEs issue debt supported by collections on the transferred advances. We made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The assets and liabilities of the advance financing SPEs are comprised solely of Match funded advances, Debt service accounts, Match funded liabilities and amounts due to affiliates. Amounts due to affiliates are eliminated in consolidation.</w:t>
      </w:r>
    </w:p>
    <w:p>
      <w:pPr>
        <w:spacing w:after="0" w:line="153" w:lineRule="exact"/>
        <w:rPr>
          <w:sz w:val="20"/>
          <w:szCs w:val="20"/>
          <w:color w:val="auto"/>
        </w:rPr>
      </w:pPr>
    </w:p>
    <w:p>
      <w:pPr>
        <w:ind w:right="920" w:firstLine="324"/>
        <w:spacing w:after="0" w:line="461" w:lineRule="auto"/>
        <w:rPr>
          <w:sz w:val="20"/>
          <w:szCs w:val="20"/>
          <w:color w:val="auto"/>
        </w:rPr>
      </w:pPr>
      <w:r>
        <w:rPr>
          <w:rFonts w:ascii="Arial" w:cs="Arial" w:eastAsia="Arial" w:hAnsi="Arial"/>
          <w:sz w:val="18"/>
          <w:szCs w:val="18"/>
          <w:color w:val="auto"/>
        </w:rPr>
        <w:t xml:space="preserve">See Note 8 – Match Funded Advances, Note 12 – Debt Service Accounts and Note 14 – Match Funded Liabilities for additional information. </w:t>
      </w:r>
      <w:r>
        <w:rPr>
          <w:rFonts w:ascii="Arial" w:cs="Arial" w:eastAsia="Arial" w:hAnsi="Arial"/>
          <w:sz w:val="18"/>
          <w:szCs w:val="18"/>
          <w:b w:val="1"/>
          <w:bCs w:val="1"/>
          <w:color w:val="auto"/>
        </w:rPr>
        <w:t>Reclassification</w:t>
      </w:r>
    </w:p>
    <w:p>
      <w:pPr>
        <w:spacing w:after="0" w:line="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Within in the revenue section of the Consolidated Statement of Operations for the three months ended March 31, 2012, reclassified Process management fees of $8.8 million to Other revenues.</w:t>
      </w:r>
    </w:p>
    <w:p>
      <w:pPr>
        <w:spacing w:after="0" w:line="13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Within in the Other income (expense) section of the Consolidated Statement of Operations for the three months ended March 31 2012, we reclassified Loss on loans held for resale, net, of $(0.4) million and Equity in earnings of unconsolidated entities of $0.3 million to Other, net.</w:t>
      </w:r>
    </w:p>
    <w:p>
      <w:pPr>
        <w:spacing w:after="0" w:line="1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Within the operating activities section of the Consolidated Statement of Cash Flows for the three months ended March 31, 2012, we reclassified Provision for valuation allowance on mortgage servicing assets of $0.2 million, Loss on loans held for resale, net, of $0.4 million and Equity in earnings of unconsolidated entities of $(0.3) million to Other, net. Within the investing activities section we reclassified Proceeds from sales of real estate of $0.5 million, Decrease in restricted cash – for securitization investors of $42 thousand and Principal payments received on loans – restricted for securitization investors of $1.0 million to Other. Within the financing activities section we reclassified Repayment of secured borrowings – owed to securitization investors of $(1.7) million to Other.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ind w:left="20"/>
        <w:spacing w:after="0"/>
        <w:tabs>
          <w:tab w:leader="none" w:pos="900" w:val="left"/>
        </w:tabs>
        <w:rPr>
          <w:sz w:val="20"/>
          <w:szCs w:val="20"/>
          <w:color w:val="auto"/>
        </w:rPr>
      </w:pPr>
      <w:r>
        <w:rPr>
          <w:rFonts w:ascii="Arial" w:cs="Arial" w:eastAsia="Arial" w:hAnsi="Arial"/>
          <w:sz w:val="18"/>
          <w:szCs w:val="18"/>
          <w:b w:val="1"/>
          <w:bCs w:val="1"/>
          <w:color w:val="auto"/>
        </w:rPr>
        <w:t>NOTE 2</w:t>
        <w:tab/>
        <w:t>RECENT ACCOUNTING PRONOUNCEMENTS</w:t>
      </w:r>
    </w:p>
    <w:p>
      <w:pPr>
        <w:spacing w:after="0" w:line="18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i w:val="1"/>
          <w:iCs w:val="1"/>
          <w:color w:val="auto"/>
        </w:rPr>
        <w:t xml:space="preserve">Accounting Standards Update (ASU) 2011-11, (Accounting Standards Codification (ASC) 210, Balance Sheet): Disclosures about Offsetting Assets and Liabilities. </w:t>
      </w:r>
      <w:r>
        <w:rPr>
          <w:rFonts w:ascii="Arial" w:cs="Arial" w:eastAsia="Arial" w:hAnsi="Arial"/>
          <w:sz w:val="16"/>
          <w:szCs w:val="16"/>
          <w:color w:val="auto"/>
        </w:rPr>
        <w:t>The amendments in this ASU require an entity to disclose information that will enable users of an entity’s financial statements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or potential effect of netting arrangements on an entity’s financial position, including the effect or potential effect of rights of setoff associated with certain financial instruments and derivative instruments. The disclosures relate to financial instruments and derivative instruments that are either (1) offset on the balance sheet under existing accounting guidance or (2) subject to an enforceable master netting arrangement or similar agreement. The Financial Accounting Standards Board (FASB) subsequently issued </w:t>
      </w:r>
      <w:r>
        <w:rPr>
          <w:rFonts w:ascii="Arial" w:cs="Arial" w:eastAsia="Arial" w:hAnsi="Arial"/>
          <w:sz w:val="16"/>
          <w:szCs w:val="16"/>
          <w:i w:val="1"/>
          <w:iCs w:val="1"/>
          <w:color w:val="auto"/>
        </w:rPr>
        <w:t>ASU 2013-01</w:t>
      </w:r>
      <w:r>
        <w:rPr>
          <w:rFonts w:ascii="Arial" w:cs="Arial" w:eastAsia="Arial" w:hAnsi="Arial"/>
          <w:sz w:val="16"/>
          <w:szCs w:val="16"/>
          <w:color w:val="auto"/>
        </w:rPr>
        <w:t xml:space="preserve">: </w:t>
      </w:r>
      <w:r>
        <w:rPr>
          <w:rFonts w:ascii="Arial" w:cs="Arial" w:eastAsia="Arial" w:hAnsi="Arial"/>
          <w:sz w:val="16"/>
          <w:szCs w:val="16"/>
          <w:i w:val="1"/>
          <w:iCs w:val="1"/>
          <w:color w:val="auto"/>
        </w:rPr>
        <w:t>Clarifying the Scope of Disclosures about Offsetting Assets and Liabilities,</w:t>
      </w:r>
      <w:r>
        <w:rPr>
          <w:rFonts w:ascii="Arial" w:cs="Arial" w:eastAsia="Arial" w:hAnsi="Arial"/>
          <w:sz w:val="16"/>
          <w:szCs w:val="16"/>
          <w:color w:val="auto"/>
        </w:rPr>
        <w:t xml:space="preserve"> on January 31, 2013 to clarify the scope of transactions that are subject to the disclosures about offsetting. ASU 2013-01 clarifies that ordinary trade receivables and payables are not in the scope of ASU 2011-11. Specifically, the amendments clarify that ASU 2011-11 applies to derivatives accounted for in accordance with ASC 815, Derivatives and Hedging, including bifurcated embedded derivatives, repurchase agreements and reverse repurchase agreements, and securities borrowing and securities lending transactions that are either offset in accordance with ASC 210 or ASC 815 or subject to an enforceable master netting arrangement or similar agreement. Retrospective application is required for all comparative periods presented. Our adoption of these standards on January 1, 2013 did not have a material impact on our unaudited interim consolidated financial statements, as the requirements relate to disclosures only.</w:t>
      </w:r>
    </w:p>
    <w:p>
      <w:pPr>
        <w:spacing w:after="0" w:line="14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ASU 2013-02 (ASC 220, Comprehensive Income): Reporting of Amounts Reclassified Out of Accumulated Other Comprehensive Income. </w:t>
      </w:r>
      <w:r>
        <w:rPr>
          <w:rFonts w:ascii="Arial" w:cs="Arial" w:eastAsia="Arial" w:hAnsi="Arial"/>
          <w:sz w:val="18"/>
          <w:szCs w:val="18"/>
          <w:color w:val="auto"/>
        </w:rPr>
        <w:t>On February 5,</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FASB issued ASU 2013-02, which requires entities to disclose the following additional information about items reclassified out of accumulated other comprehensive income (AOCI):</w:t>
      </w:r>
    </w:p>
    <w:p>
      <w:pPr>
        <w:spacing w:after="0" w:line="141" w:lineRule="exact"/>
        <w:rPr>
          <w:sz w:val="20"/>
          <w:szCs w:val="20"/>
          <w:color w:val="auto"/>
        </w:rPr>
      </w:pPr>
    </w:p>
    <w:p>
      <w:pPr>
        <w:ind w:left="660" w:right="4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AOCI balances by component (e.g., unrealized gains or losses on available-for sale securities or foreign-currency items). Both before-tax and net-of-tax presentations of the information are acceptable as long as an entity presents the income tax benefit or expense attributed to each component of OCI and reclassification adjustments in either the financial statements or the notes to the financial statements.</w:t>
      </w:r>
    </w:p>
    <w:p>
      <w:pPr>
        <w:spacing w:after="0" w:line="125" w:lineRule="exact"/>
        <w:rPr>
          <w:rFonts w:ascii="Arial" w:cs="Arial" w:eastAsia="Arial" w:hAnsi="Arial"/>
          <w:sz w:val="17"/>
          <w:szCs w:val="17"/>
          <w:color w:val="auto"/>
        </w:rPr>
      </w:pPr>
    </w:p>
    <w:p>
      <w:pPr>
        <w:ind w:left="660" w:right="6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items reclassified out of AOCI by component either on the face of the income statement or as a separate footnote to the financial statements.</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ASU does not change the current GAAP requirements for interim financial statement reporting of comprehensive income. That is, a total for comprehensive income must be reported in condensed interim financial statements in either (1) a single continuous statement or (2) two separate but consecutive statements. However, entities would also need to include information about (1) changes in AOCI balances by component and (2) significant items reclassified out of AOCI in their interim reporting periods. The ASU is effective for fiscal years, and interim periods within those years, beginning after December 15, 2012. The amendments in the ASU should be applied prospectively. Our adoption of these standards on January 1, 2013 did not have a material impact on our unaudited interim consolidated financial statements, as the requirements relate to disclosures only. However, we are required to disclose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13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 xml:space="preserve">ASU 2013-04 (ASC 405, Liabilities): Obligations Resulting from Joint and Several Liability Arrangements for Which the Total Amount of the Obligation Is Fixed at the Reporting Date, a consensus of the FASB Emerging Issues Task Force (EITF). </w:t>
      </w:r>
      <w:r>
        <w:rPr>
          <w:rFonts w:ascii="Arial" w:cs="Arial" w:eastAsia="Arial" w:hAnsi="Arial"/>
          <w:sz w:val="16"/>
          <w:szCs w:val="16"/>
          <w:color w:val="auto"/>
        </w:rPr>
        <w:t>On February 28, 2013, the FASB issued ASU 2013-04,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 consensus reached by the EITF. The ASU requires entities to “measure obligations resulting from joint and several liability arrangements for which the total amount of the obligation within the scope of this guidance is fixed at the reporting date, as the sum of the following:</w:t>
      </w:r>
    </w:p>
    <w:p>
      <w:pPr>
        <w:spacing w:after="0" w:line="1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the reporting entity agreed to pay on the basis of its arrangement among its co-obligors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additional amount the reporting entity expects to pay on behalf of its co-obligors.”</w:t>
      </w:r>
    </w:p>
    <w:p>
      <w:pPr>
        <w:spacing w:after="0" w:line="18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Required disclosures include a description of the joint-and-several arrangement and the total outstanding amount of the obligation for all joint parties. The ASU permits entities to aggregate disclosures (as opposed to providing separate disclosures for each joint-and-several obligation). These disclosure requirements are incremental to the existing related-party disclosure requirements in ASC 850. The ASU is effective for all prior periods in fiscal years beginning on or after December 15, 2013 (and interim reporting periods within those years). The ASU should be applied retrospectively to obligations with joint-and-several liabilities existing at the beginning of an entity’s fiscal year of adoption. Entities that elect to use hindsight in measuring their obligations during the comparative periods must disclose that fact. Early adoption is permitted. We are currently evaluating the effect of adopting this standard effective January 1, 2014, but we do not anticipate that our adoption will have a material impact on our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right="240" w:firstLine="324"/>
        <w:spacing w:after="0" w:line="259" w:lineRule="auto"/>
        <w:rPr>
          <w:sz w:val="20"/>
          <w:szCs w:val="20"/>
          <w:color w:val="auto"/>
        </w:rPr>
      </w:pPr>
      <w:r>
        <w:rPr>
          <w:rFonts w:ascii="Arial" w:cs="Arial" w:eastAsia="Arial" w:hAnsi="Arial"/>
          <w:sz w:val="18"/>
          <w:szCs w:val="18"/>
          <w:i w:val="1"/>
          <w:iCs w:val="1"/>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r>
        <w:rPr>
          <w:rFonts w:ascii="Arial" w:cs="Arial" w:eastAsia="Arial" w:hAnsi="Arial"/>
          <w:sz w:val="18"/>
          <w:szCs w:val="18"/>
          <w:color w:val="auto"/>
        </w:rPr>
        <w:t>.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4, 2013, the FASB issued ASU 2013-05, which indicates that the entire amount of a cumulative translation adjustment (CTA) related to an entity’s investment in a foreign entity should be released when there has been a:</w:t>
      </w:r>
    </w:p>
    <w:p>
      <w:pPr>
        <w:spacing w:after="0" w:line="146"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a subsidiary or group of net assets within a foreign entity and the sale represents the substantially complete liquidation of the investment in the foreign entity,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controlling financial interest in an investment in a foreign entity (i.e., the foreign entity is deconsolidated) or</w:t>
      </w:r>
    </w:p>
    <w:p>
      <w:pPr>
        <w:spacing w:after="0" w:line="184"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acquisition for a foreign entity (i.e., when an entity has changed from applying the equity method for an investment in a foreign entity to consolidating the foreign entity).</w:t>
      </w:r>
    </w:p>
    <w:p>
      <w:pPr>
        <w:spacing w:after="0" w:line="13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ASU does not change the requirement to release a pro rata portion of the CTA of the foreign entity into earnings for a partial sale of an equity method investment in a foreign entity. The ASU is effective for fiscal years (and interim periods within those fiscal years) beginning on or after December 15, 2013. The ASU should be applied prospectively from the beginning of the fiscal year of adoption. We are currently evaluating the effect of adopting this standard effective January 1, 2014, but we do not anticipate that our adoption will have a material impact on our consolidated financial statements.</w:t>
      </w:r>
    </w:p>
    <w:p>
      <w:pPr>
        <w:spacing w:after="0" w:line="1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BUSINESS ACQUISITIONS</w:t>
      </w:r>
    </w:p>
    <w:p>
      <w:pPr>
        <w:spacing w:after="0" w:line="18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completed the acquisitions of ResCap and Homeward as part of our ongoing strategy to expand our residential servicing business.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11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our consolidated net earnings would have been had we completed the acquisitions on the dates indicated because of differences in servicing practices and cost structure between Ocwen and the acquiree. In addition, the pro forma consolidated results do not purport to project our combined future results nor do they reflect the expected realization of any cost savings associated with the acquisitions.</w:t>
      </w:r>
    </w:p>
    <w:p>
      <w:pPr>
        <w:spacing w:after="0" w:line="16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acquisition of ResCap is treated as an asset acquisition for U.S. tax purposes. We expect the opening tax basis for the acquired assets and liabilities to be the fair value as shown in the purchase price allocation tables below. We expect the MSRs and goodwill to be treated as intangible assets acquired in connection with the purchase of a trade or business and as such, amortized over 15 years for U.S. tax purposes. The acquisition of Homeward was treated as a stock purchase for U.S. tax purposes.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values of assets acquired and liabilities assumed as part of the ResCap and Homeward Acquisitions: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ResCap</w:t>
            </w:r>
          </w:p>
        </w:tc>
        <w:tc>
          <w:tcPr>
            <w:tcW w:w="20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Homeward</w:t>
            </w:r>
          </w:p>
        </w:tc>
      </w:tr>
      <w:tr>
        <w:trPr>
          <w:trHeight w:val="210"/>
        </w:trPr>
        <w:tc>
          <w:tcPr>
            <w:tcW w:w="84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3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79,511</w:t>
            </w:r>
          </w:p>
        </w:tc>
        <w:tc>
          <w:tcPr>
            <w:tcW w:w="100" w:type="dxa"/>
            <w:vAlign w:val="bottom"/>
            <w:tcBorders>
              <w:top w:val="single" w:sz="8" w:color="CCEECC"/>
            </w:tcBorders>
            <w:shd w:val="clear" w:color="auto" w:fill="CCEEC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Loans held for sale (1)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558,721</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(1)</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393,891</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358,119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Advances and match funded advances (1)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1,622,348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2,266,882</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assets (1)</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47,346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Premises and equipment (1)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22,398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16,803</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Debt service accounts</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69,287</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in unconsolidated entities (1)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5,485</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Receivables and other assets (1)</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2,989</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56,886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(1,997,459)</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(864,969)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Accrued bonuses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(35,201)</w:t>
            </w: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 (1)</w:t>
            </w:r>
          </w:p>
        </w:tc>
        <w:tc>
          <w:tcPr>
            <w:tcW w:w="3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(16,418)</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liabilities (1)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(74,340)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(80,112)</w:t>
            </w:r>
          </w:p>
        </w:tc>
      </w:tr>
      <w:tr>
        <w:trPr>
          <w:trHeight w:val="210"/>
        </w:trPr>
        <w:tc>
          <w:tcPr>
            <w:tcW w:w="8460" w:type="dxa"/>
            <w:vAlign w:val="bottom"/>
            <w:tcBorders>
              <w:top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Total identifiable net assets</w:t>
            </w:r>
          </w:p>
        </w:tc>
        <w:tc>
          <w:tcPr>
            <w:tcW w:w="3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1,967,286</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464,881</w:t>
            </w:r>
          </w:p>
        </w:tc>
        <w:tc>
          <w:tcPr>
            <w:tcW w:w="100" w:type="dxa"/>
            <w:vAlign w:val="bottom"/>
            <w:tcBorders>
              <w:top w:val="single" w:sz="8" w:color="CCEECC"/>
            </w:tcBorders>
            <w:shd w:val="clear" w:color="auto" w:fill="CCEECC"/>
          </w:tcPr>
          <w:p>
            <w:pPr>
              <w:spacing w:after="0"/>
              <w:rPr>
                <w:sz w:val="18"/>
                <w:szCs w:val="18"/>
                <w:color w:val="auto"/>
              </w:rPr>
            </w:pPr>
          </w:p>
        </w:tc>
      </w:tr>
      <w:tr>
        <w:trPr>
          <w:trHeight w:val="230"/>
        </w:trPr>
        <w:tc>
          <w:tcPr>
            <w:tcW w:w="8460" w:type="dxa"/>
            <w:vAlign w:val="bottom"/>
          </w:tcPr>
          <w:p>
            <w:pPr>
              <w:ind w:left="160"/>
              <w:spacing w:after="0"/>
              <w:rPr>
                <w:sz w:val="20"/>
                <w:szCs w:val="20"/>
                <w:color w:val="auto"/>
              </w:rPr>
            </w:pPr>
            <w:r>
              <w:rPr>
                <w:rFonts w:ascii="Arial" w:cs="Arial" w:eastAsia="Arial" w:hAnsi="Arial"/>
                <w:sz w:val="18"/>
                <w:szCs w:val="18"/>
                <w:color w:val="auto"/>
              </w:rPr>
              <w:t>Goodwill (1)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204,743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300,843</w:t>
            </w:r>
          </w:p>
        </w:tc>
      </w:tr>
      <w:tr>
        <w:trPr>
          <w:trHeight w:val="223"/>
        </w:trPr>
        <w:tc>
          <w:tcPr>
            <w:tcW w:w="846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consideration</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2,172,029</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765,724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Initial fair value estimate</w:t>
      </w:r>
    </w:p>
    <w:p>
      <w:pPr>
        <w:spacing w:after="0" w:line="18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estimated fair values of the assets acquired and liabilities assumed at the acquisition date, as set forth in the table above, includes some amounts based on preliminary fair value estimates. The following factors led to certain balances having preliminary fair value estimates:</w:t>
      </w:r>
    </w:p>
    <w:p>
      <w:pPr>
        <w:spacing w:after="0" w:line="12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 nature of certain acquired assets and liabilities prevented us from completing our valuations and reconciliations;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engaged a third party specialist to assist in valuing certain assets and liabilities and this work is not yet complete; and</w:t>
      </w:r>
    </w:p>
    <w:p>
      <w:pPr>
        <w:spacing w:after="0" w:line="184" w:lineRule="exact"/>
        <w:rPr>
          <w:rFonts w:ascii="Arial" w:cs="Arial" w:eastAsia="Arial" w:hAnsi="Arial"/>
          <w:sz w:val="18"/>
          <w:szCs w:val="18"/>
          <w:color w:val="auto"/>
        </w:rPr>
      </w:pPr>
    </w:p>
    <w:p>
      <w:pPr>
        <w:ind w:left="660" w:right="7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Underlying information such as UPB and other loan level details have not yet been boarded and reconciled onto our servicing platform, and therefore, we have not been able to fully validate and reconcile certain asset and liability balances correlated with UPB data.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8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completed the ResCap Acquisition on February 15, 2013. We acquired MSRs to “private label”, Freddie Mac and Ginnie Mae loans with an unpaid principal balance (UPB) of $107.3 billion and master servicing agreements with a UPB of $42.1 billion. We also assumed subservicing contracts with a UPB of $25.9 billion. In addition, until certain consents and court approvals are obtained, we will subservice MSRs with a UPB of $9.0 billion on behalf of ResCap. When such consents and approvals are obtained, we will purchase these MSRs and assume the subservicing contracts from ResCap. We also acquired certain diversified fee-based business operations that include recovery, title and closing services.</w:t>
      </w:r>
    </w:p>
    <w:p>
      <w:pPr>
        <w:spacing w:after="0" w:line="13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 finance the ResCap Acquisition, we deployed $840.0 million of net additional capital from the proceeds of a new $1.3 billion senior secured term loan (SSTL) facility and borrowed $1.2 billion pursuant to two new servicing advance facilities and one existing facility.</w:t>
      </w:r>
    </w:p>
    <w:p>
      <w:pPr>
        <w:spacing w:after="0" w:line="14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purchase agreement with ResCap allows us to fully assess the valuation of the assets acquired and liabilities assumed during the 120 days following the closing. Any measurement period adjustments that we determine to be material will be applied retrospectively to the period of acquisition, and depending on the nature of the adjustments, other periods subsequent to the period of acquisition could also be affected.</w:t>
      </w:r>
    </w:p>
    <w:p>
      <w:pPr>
        <w:spacing w:after="0" w:line="14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revenue and earnings of the ResCap Business operations that are included in our unaudited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the acquisition date of February 15, 2013 through March 31,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CC"/>
          </w:tcPr>
          <w:p>
            <w:pPr>
              <w:spacing w:after="0"/>
              <w:rPr>
                <w:sz w:val="20"/>
                <w:szCs w:val="20"/>
                <w:color w:val="auto"/>
              </w:rPr>
            </w:pPr>
            <w:r>
              <w:rPr>
                <w:rFonts w:ascii="Arial" w:cs="Arial" w:eastAsia="Arial" w:hAnsi="Arial"/>
                <w:sz w:val="18"/>
                <w:szCs w:val="18"/>
                <w:color w:val="auto"/>
              </w:rPr>
              <w:t>Revenues</w:t>
            </w:r>
          </w:p>
        </w:tc>
        <w:tc>
          <w:tcPr>
            <w:tcW w:w="736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74,853</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7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14,879</w:t>
            </w:r>
          </w:p>
        </w:tc>
      </w:tr>
      <w:tr>
        <w:trPr>
          <w:trHeight w:val="438"/>
        </w:trPr>
        <w:tc>
          <w:tcPr>
            <w:tcW w:w="32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right"/>
              <w:ind w:right="4710"/>
              <w:spacing w:after="0"/>
              <w:rPr>
                <w:sz w:val="20"/>
                <w:szCs w:val="20"/>
                <w:color w:val="auto"/>
              </w:rPr>
            </w:pPr>
            <w:r>
              <w:rPr>
                <w:rFonts w:ascii="Arial" w:cs="Arial" w:eastAsia="Arial" w:hAnsi="Arial"/>
                <w:sz w:val="18"/>
                <w:szCs w:val="18"/>
                <w:color w:val="auto"/>
              </w:rPr>
              <w:t>13</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8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the three months ended March 31, 2013 and 2012 as if the ResCap Acquisition occurred on January 1, 2012. Pro forma adjustments include:</w:t>
      </w:r>
    </w:p>
    <w:p>
      <w:pPr>
        <w:spacing w:after="0" w:line="1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2012 rather than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Three Months Ended March 31:</w:t>
            </w:r>
          </w:p>
        </w:tc>
        <w:tc>
          <w:tcPr>
            <w:tcW w:w="3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529,250</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303,735</w:t>
            </w:r>
          </w:p>
        </w:tc>
        <w:tc>
          <w:tcPr>
            <w:tcW w:w="100" w:type="dxa"/>
            <w:vAlign w:val="bottom"/>
            <w:shd w:val="clear" w:color="auto" w:fill="CCEECC"/>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51,180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(6,197)</w:t>
            </w:r>
          </w:p>
        </w:tc>
      </w:tr>
    </w:tbl>
    <w:p>
      <w:pPr>
        <w:spacing w:after="0" w:line="14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Through March 31, 2013, we incurred $1.8 million of fees for professional services related to the ResCap Acquisition that are included in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completed the Homeward Acquisition on December 27, 2012. We acquired the MSRs and subservicing for approximately 421,000 residential mortgage loans with a UPB of approximately $77.0 billion. We also acquired Homeward’s loan origination platform and its diversified fee-based business that includes property valuation, REO management, title, closing and advisory services.</w:t>
      </w:r>
    </w:p>
    <w:p>
      <w:pPr>
        <w:spacing w:after="0" w:line="1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purchase agreement with Homeward allows us to fully assess the valuation of the assets and liabilities acquired during an evaluation period that extends beyond the date of these unaudited interim consolidated financial statements. Because the measurement period is still open, we expect that certain fair value estimates will change once we receive all information necessary to make a final fair value assessment. We expect that the measurement period will extend until at least June 30, 2013. Any measurement period adjustments that we determine to be material will be applied retrospectively to the period of acquisition in our consolidated financial statements and, depending on the nature of the adjustments, other periods subsequent to the period of acquisition could also be affected.</w:t>
      </w:r>
    </w:p>
    <w:p>
      <w:pPr>
        <w:spacing w:after="0" w:line="15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March 29, 2013, Ocwen sold the Homeward diversified fee-based to Altisource Solutions S.à r.l. and Altisource Portfolio Solutions, Inc., wholly-owned subsidiaries of Altisource Portfolio Solutions S.A. (Altisource), for an aggregate purchase price of $87.0 million in cash. Ocwen sold its investment in two subsidiaries of Homeward, Beltline Road Insurance Agency, Inc. and Power Default Services, Inc. As part of this transaction, Ocwen also agreed to sell certain designated assets used or usable in the business conducted by another Homeward subsidiary, Power Valuation Services, Inc., as well as certain designated intellectual property and information technology assets that are used or usable in the business conducted by the acquired subsidiaries or by Powerline Valuation Services, Inc. Altisource also assumed certain liabilities of the diversified fee-based business. The carrying value of the net assets sold approximated the sales price. The assets sold consisted of receivables and other assets of $18.7 million. The liabilities assumed by Altisource of $4.0 million consisted principally of deferred revenue. At the time of the sale, we derecognized goodwill of $72.3 million associated with the sold business. The purchase price is subject to a working capital and net income adjustment to be determined within 90 days of the closing date. In connection with this transaction, Ocwen entered into amendments to certain of its services and intellectual property agreements with Altisource. See Note 22 – Related Party Transactions for a discussion of these amendments.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the three months ended March 31, 2012 as if the acquisition of Homeward occurred on January 1, 2011. Pro forma adjustments include:</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84"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2011 rather than 2012.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CC"/>
          </w:tcPr>
          <w:p>
            <w:pPr>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277,635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22,928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March 31, 2013, we increased our ownership in Correspondent One S.A. (Correspondent One), an entity formed with Altisource in March 2011, from 49% to 100%. We acquired the shares of Correspondent One held by Altisource (49% interest) for $12.6 million and acquired the remaining shares held by an unrelated entity for $0.9 million. We accounted for this transaction as a step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also recognized goodwill of $0.1 million. We began including the accounts of Correspondent One in our consolidated financial statements effective on the date of acquisition and have eliminated our investment in consolidation. Correspondent One facilitates the purchase of conforming and government-guaranteed residential mortgages from approved mortgage originators and resells the mortgages to secondary market investors. Correspondent One is not material to our financial condition, results of operations or cash flows.</w:t>
      </w:r>
    </w:p>
    <w:p>
      <w:pPr>
        <w:spacing w:after="0" w:line="13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ASSET SALES AND FINANCING</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order to efficiently finance our assets and operations, we periodically sell the right to receive servicing fees, excluding ancillary income, relating to certain of our mortgage servicing rights (Rights to MSRs) and related advances (collectively HLSS Transactions) to Home Loan Servicing Solutions, Ltd. and its wholly owned subsidiary, HLSS Holdings, LLC (collectively HLSS). To the extent applicable, HLSS may also acquire certain advance SPEs and the related match funded liabilities. During the three months ended March 31, 2013 and 2012, we completed HLSS Transactions relating to the Rights to MSRs for $15.9 billion and $15.2 billion of UPB, respectively.</w:t>
      </w:r>
    </w:p>
    <w:p>
      <w:pPr>
        <w:spacing w:after="0" w:line="16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part of the HLSS Transactions, we retain legal ownership of the MSRs and continue to service the related mortgage loans. However, we service the loans for a reduced fee because HLSS has assumed the match funded liabilities as well as the obligation for future servicing advances related to the MSRs. We are obligated to transfer legal ownership of the MSRs to HLSS upon obtaining all required third party consents. At that time, we would subservice the MSRs pursuant to our subservicing agreement with HLSS which was executed on February 10, 2012. See Note 22 – Related Party Transactions for additional information.</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provides a summary of the assets and liabilities sold to HLSS in connection with the HLSS Transactions during the three months ended March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CC"/>
            </w:tcBorders>
          </w:tcPr>
          <w:p>
            <w:pPr>
              <w:spacing w:after="0"/>
              <w:rPr>
                <w:sz w:val="20"/>
                <w:szCs w:val="20"/>
                <w:color w:val="auto"/>
              </w:rPr>
            </w:pPr>
          </w:p>
        </w:tc>
        <w:tc>
          <w:tcPr>
            <w:tcW w:w="24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6400" w:type="dxa"/>
            <w:vAlign w:val="bottom"/>
            <w:shd w:val="clear" w:color="auto" w:fill="CCEECC"/>
          </w:tcPr>
          <w:p>
            <w:pPr>
              <w:spacing w:after="0"/>
              <w:rPr>
                <w:sz w:val="20"/>
                <w:szCs w:val="20"/>
                <w:color w:val="auto"/>
              </w:rPr>
            </w:pPr>
            <w:r>
              <w:rPr>
                <w:rFonts w:ascii="Arial" w:cs="Arial" w:eastAsia="Arial" w:hAnsi="Arial"/>
                <w:sz w:val="18"/>
                <w:szCs w:val="18"/>
                <w:color w:val="auto"/>
              </w:rPr>
              <w:t>Sale of MSRs accounted for as a financing</w:t>
            </w:r>
          </w:p>
        </w:tc>
        <w:tc>
          <w:tcPr>
            <w:tcW w:w="24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100,707</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62,458</w:t>
            </w:r>
          </w:p>
        </w:tc>
        <w:tc>
          <w:tcPr>
            <w:tcW w:w="100" w:type="dxa"/>
            <w:vAlign w:val="bottom"/>
            <w:shd w:val="clear" w:color="auto" w:fill="CCEECC"/>
          </w:tcPr>
          <w:p>
            <w:pPr>
              <w:spacing w:after="0"/>
              <w:rPr>
                <w:sz w:val="18"/>
                <w:szCs w:val="18"/>
                <w:color w:val="auto"/>
              </w:rPr>
            </w:pPr>
          </w:p>
        </w:tc>
      </w:tr>
      <w:tr>
        <w:trPr>
          <w:trHeight w:val="210"/>
        </w:trPr>
        <w:tc>
          <w:tcPr>
            <w:tcW w:w="64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Sale of match funded advances</w:t>
            </w:r>
          </w:p>
        </w:tc>
        <w:tc>
          <w:tcPr>
            <w:tcW w:w="24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703,206</w:t>
            </w:r>
          </w:p>
        </w:tc>
        <w:tc>
          <w:tcPr>
            <w:tcW w:w="22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CC"/>
            </w:tcBorders>
          </w:tcPr>
          <w:p>
            <w:pPr>
              <w:spacing w:after="0"/>
              <w:rPr>
                <w:sz w:val="18"/>
                <w:szCs w:val="18"/>
                <w:color w:val="auto"/>
              </w:rPr>
            </w:pPr>
          </w:p>
        </w:tc>
      </w:tr>
      <w:tr>
        <w:trPr>
          <w:trHeight w:val="210"/>
        </w:trPr>
        <w:tc>
          <w:tcPr>
            <w:tcW w:w="6400" w:type="dxa"/>
            <w:vAlign w:val="bottom"/>
            <w:shd w:val="clear" w:color="auto" w:fill="CCEECC"/>
          </w:tcPr>
          <w:p>
            <w:pPr>
              <w:spacing w:after="0"/>
              <w:rPr>
                <w:sz w:val="20"/>
                <w:szCs w:val="20"/>
                <w:color w:val="auto"/>
              </w:rPr>
            </w:pPr>
            <w:r>
              <w:rPr>
                <w:rFonts w:ascii="Arial" w:cs="Arial" w:eastAsia="Arial" w:hAnsi="Arial"/>
                <w:sz w:val="18"/>
                <w:szCs w:val="18"/>
                <w:color w:val="auto"/>
              </w:rPr>
              <w:t>Sale of advance SPEs:</w:t>
            </w:r>
          </w:p>
        </w:tc>
        <w:tc>
          <w:tcPr>
            <w:tcW w:w="2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640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r>
      <w:tr>
        <w:trPr>
          <w:trHeight w:val="216"/>
        </w:trPr>
        <w:tc>
          <w:tcPr>
            <w:tcW w:w="6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Debt service account</w:t>
            </w:r>
          </w:p>
        </w:tc>
        <w:tc>
          <w:tcPr>
            <w:tcW w:w="2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14,786</w:t>
            </w:r>
          </w:p>
        </w:tc>
      </w:tr>
      <w:tr>
        <w:trPr>
          <w:trHeight w:val="216"/>
        </w:trPr>
        <w:tc>
          <w:tcPr>
            <w:tcW w:w="6400" w:type="dxa"/>
            <w:vAlign w:val="bottom"/>
          </w:tcPr>
          <w:p>
            <w:pPr>
              <w:ind w:left="160"/>
              <w:spacing w:after="0"/>
              <w:rPr>
                <w:sz w:val="20"/>
                <w:szCs w:val="20"/>
                <w:color w:val="auto"/>
              </w:rPr>
            </w:pPr>
            <w:r>
              <w:rPr>
                <w:rFonts w:ascii="Arial" w:cs="Arial" w:eastAsia="Arial" w:hAnsi="Arial"/>
                <w:sz w:val="18"/>
                <w:szCs w:val="18"/>
                <w:color w:val="auto"/>
              </w:rPr>
              <w:t>Prepaid lender fees and debt issuance costs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r>
      <w:tr>
        <w:trPr>
          <w:trHeight w:val="216"/>
        </w:trPr>
        <w:tc>
          <w:tcPr>
            <w:tcW w:w="6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 prepaid expenses</w:t>
            </w:r>
          </w:p>
        </w:tc>
        <w:tc>
          <w:tcPr>
            <w:tcW w:w="2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1,928</w:t>
            </w:r>
          </w:p>
        </w:tc>
      </w:tr>
      <w:tr>
        <w:trPr>
          <w:trHeight w:val="216"/>
        </w:trPr>
        <w:tc>
          <w:tcPr>
            <w:tcW w:w="640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r>
      <w:tr>
        <w:trPr>
          <w:trHeight w:val="230"/>
        </w:trPr>
        <w:tc>
          <w:tcPr>
            <w:tcW w:w="6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Accrued interest payable and other accrued expenses</w:t>
            </w:r>
          </w:p>
        </w:tc>
        <w:tc>
          <w:tcPr>
            <w:tcW w:w="24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(841)</w:t>
            </w:r>
          </w:p>
        </w:tc>
      </w:tr>
      <w:tr>
        <w:trPr>
          <w:trHeight w:val="210"/>
        </w:trPr>
        <w:tc>
          <w:tcPr>
            <w:tcW w:w="640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Net assets of advance SPEs</w:t>
            </w:r>
          </w:p>
        </w:tc>
        <w:tc>
          <w:tcPr>
            <w:tcW w:w="24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bottom w:val="single" w:sz="8" w:color="CCEECC"/>
            </w:tcBorders>
          </w:tcPr>
          <w:p>
            <w:pPr>
              <w:spacing w:after="0"/>
              <w:rPr>
                <w:sz w:val="18"/>
                <w:szCs w:val="18"/>
                <w:color w:val="auto"/>
              </w:rPr>
            </w:pPr>
          </w:p>
        </w:tc>
      </w:tr>
      <w:tr>
        <w:trPr>
          <w:trHeight w:val="210"/>
        </w:trPr>
        <w:tc>
          <w:tcPr>
            <w:tcW w:w="6400" w:type="dxa"/>
            <w:vAlign w:val="bottom"/>
            <w:shd w:val="clear" w:color="auto" w:fill="CCEECC"/>
          </w:tcPr>
          <w:p>
            <w:pPr>
              <w:spacing w:after="0"/>
              <w:rPr>
                <w:sz w:val="20"/>
                <w:szCs w:val="20"/>
                <w:color w:val="auto"/>
              </w:rPr>
            </w:pPr>
            <w:r>
              <w:rPr>
                <w:rFonts w:ascii="Arial" w:cs="Arial" w:eastAsia="Arial" w:hAnsi="Arial"/>
                <w:sz w:val="18"/>
                <w:szCs w:val="18"/>
                <w:color w:val="auto"/>
              </w:rPr>
              <w:t>Sales price, as adjusted</w:t>
            </w:r>
          </w:p>
        </w:tc>
        <w:tc>
          <w:tcPr>
            <w:tcW w:w="24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803,913</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138,792</w:t>
            </w:r>
          </w:p>
        </w:tc>
        <w:tc>
          <w:tcPr>
            <w:tcW w:w="100" w:type="dxa"/>
            <w:vAlign w:val="bottom"/>
            <w:shd w:val="clear" w:color="auto" w:fill="CCEECC"/>
          </w:tcPr>
          <w:p>
            <w:pPr>
              <w:spacing w:after="0"/>
              <w:rPr>
                <w:sz w:val="18"/>
                <w:szCs w:val="18"/>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Amount due to HLSS for post-closing adjustments at</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400" w:type="dxa"/>
            <w:vAlign w:val="bottom"/>
          </w:tcPr>
          <w:p>
            <w:pPr>
              <w:ind w:left="180"/>
              <w:spacing w:after="0"/>
              <w:rPr>
                <w:sz w:val="20"/>
                <w:szCs w:val="20"/>
                <w:color w:val="auto"/>
              </w:rPr>
            </w:pPr>
            <w:r>
              <w:rPr>
                <w:rFonts w:ascii="Arial" w:cs="Arial" w:eastAsia="Arial" w:hAnsi="Arial"/>
                <w:sz w:val="18"/>
                <w:szCs w:val="18"/>
                <w:color w:val="auto"/>
              </w:rPr>
              <w:t>March 31</w:t>
            </w: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10,406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11,006</w:t>
            </w:r>
          </w:p>
        </w:tc>
      </w:tr>
      <w:tr>
        <w:trPr>
          <w:trHeight w:val="223"/>
        </w:trPr>
        <w:tc>
          <w:tcPr>
            <w:tcW w:w="640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 received</w:t>
            </w:r>
          </w:p>
        </w:tc>
        <w:tc>
          <w:tcPr>
            <w:tcW w:w="24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814,319</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149,798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Because we retained legal title to the MSRs, the sales of Rights to MSRs are accounted for as financings. The related advance sales meet the requirements for sale accounting under GAAP. When HLSS acquired advance SPEs from Ocwen, we derecognized the consolidated assets and liabilities of the Advance SPEs at the time of the sale. To the extent that we obtain all third party consents, legal title will transfer to HLSS, at which point we will derecognize the related MSRs. Upon derecognition, any resulting gain or loss will be deferred and amortized over the expected life of the related subservicing agreement. Until such time, we continue to recognize the full amount of servicing revenue and amortization of the MSRs.</w:t>
      </w:r>
    </w:p>
    <w:p>
      <w:pPr>
        <w:spacing w:after="0" w:line="128"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5</w:t>
        <w:tab/>
        <w:t>FAIR VALUE OF FINANCIAL INSTRUMENTS</w:t>
      </w:r>
    </w:p>
    <w:p>
      <w:pPr>
        <w:spacing w:after="0" w:line="18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Quoted prices (unadjusted) in active markets for identical assets or liabilities that the reporting entity can access at the measurement date.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quoted prices included in Level 1 that are observable for the asset or liability, either directly or indirectly.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 for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0" w:right="239" w:bottom="923"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March 31, 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w:t>
            </w:r>
          </w:p>
        </w:tc>
        <w:tc>
          <w:tcPr>
            <w:tcW w:w="14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Financial assets:</w:t>
            </w:r>
          </w:p>
        </w:tc>
        <w:tc>
          <w:tcPr>
            <w:tcW w:w="1040" w:type="dxa"/>
            <w:vAlign w:val="bottom"/>
            <w:tcBorders>
              <w:top w:val="single" w:sz="8" w:color="auto"/>
            </w:tcBorders>
            <w:shd w:val="clear" w:color="auto" w:fill="CCEECC"/>
          </w:tcPr>
          <w:p>
            <w:pPr>
              <w:spacing w:after="0"/>
              <w:rPr>
                <w:sz w:val="18"/>
                <w:szCs w:val="18"/>
                <w:color w:val="auto"/>
              </w:rPr>
            </w:pPr>
          </w:p>
        </w:tc>
        <w:tc>
          <w:tcPr>
            <w:tcW w:w="4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Loans held for sale, at fair value (1)</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295,514</w:t>
            </w:r>
          </w:p>
        </w:tc>
        <w:tc>
          <w:tcPr>
            <w:tcW w:w="2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295,514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426,480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lower of cost or fair value (2)</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62,615</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62,615</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82,866</w:t>
            </w: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Advances and match funded advances (3)</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3,966,255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3,966,255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3,233,707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3,233,707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Receivables, net (3)</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155,558</w:t>
            </w: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155,558</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167,459</w:t>
            </w: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167,459</w:t>
            </w: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Match funded liabilities (3)</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2,982,984</w:t>
            </w:r>
          </w:p>
        </w:tc>
        <w:tc>
          <w:tcPr>
            <w:tcW w:w="280" w:type="dxa"/>
            <w:vAlign w:val="bottom"/>
            <w:shd w:val="clear" w:color="auto" w:fill="CCEECC"/>
          </w:tcPr>
          <w:p>
            <w:pPr>
              <w:spacing w:after="0"/>
              <w:rPr>
                <w:sz w:val="18"/>
                <w:szCs w:val="18"/>
                <w:color w:val="auto"/>
              </w:rPr>
            </w:pP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w w:val="99"/>
              </w:rPr>
              <w:t>2,982,984</w:t>
            </w:r>
          </w:p>
        </w:tc>
        <w:tc>
          <w:tcPr>
            <w:tcW w:w="3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2,532,745</w:t>
            </w:r>
          </w:p>
        </w:tc>
        <w:tc>
          <w:tcPr>
            <w:tcW w:w="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2,533,278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Other borrowings (3)</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1,987,894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1,989,104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1,096,679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1,101,504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Derivative financial instruments (1):</w:t>
            </w:r>
          </w:p>
        </w:tc>
        <w:tc>
          <w:tcPr>
            <w:tcW w:w="10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rPr>
              <w:t>Interest rate lock commitments (IRLCs)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4,652</w:t>
            </w:r>
          </w:p>
        </w:tc>
        <w:tc>
          <w:tcPr>
            <w:tcW w:w="2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4,652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5,781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rate swaps</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(18,758)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(18,758)</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(10,836)</w:t>
            </w: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rPr>
              <w:t>Forward MBS trades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U.S. Treasury futures</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rPr>
              <w:t>Interest rate caps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MSRs, at fair value (1)</w:t>
            </w:r>
          </w:p>
        </w:tc>
        <w:tc>
          <w:tcPr>
            <w:tcW w:w="104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84,534</w:t>
            </w: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84,534</w:t>
            </w:r>
          </w:p>
        </w:tc>
        <w:tc>
          <w:tcPr>
            <w:tcW w:w="3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85,213</w:t>
            </w:r>
          </w:p>
        </w:tc>
        <w:tc>
          <w:tcPr>
            <w:tcW w:w="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instruments disclosed, but not carried, at fair value.</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following tables present a reconciliation of the changes in fair value of Level 3 assets that we measure at fair value on a recurring basis: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Financial</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MSRS at Fair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Instruments</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60" w:type="dxa"/>
            <w:vAlign w:val="bottom"/>
            <w:gridSpan w:val="2"/>
            <w:shd w:val="clear" w:color="auto" w:fill="CCEECC"/>
          </w:tcPr>
          <w:p>
            <w:pPr>
              <w:spacing w:after="0" w:line="176" w:lineRule="exact"/>
              <w:rPr>
                <w:sz w:val="20"/>
                <w:szCs w:val="20"/>
                <w:color w:val="auto"/>
              </w:rPr>
            </w:pPr>
            <w:r>
              <w:rPr>
                <w:rFonts w:ascii="Arial" w:cs="Arial" w:eastAsia="Arial" w:hAnsi="Arial"/>
                <w:sz w:val="18"/>
                <w:szCs w:val="18"/>
                <w:b w:val="1"/>
                <w:bCs w:val="1"/>
                <w:color w:val="auto"/>
              </w:rPr>
              <w:t>Three Months Ended March 31, 2013:</w:t>
            </w: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Beginning balance</w:t>
            </w:r>
          </w:p>
        </w:tc>
        <w:tc>
          <w:tcPr>
            <w:tcW w:w="4340" w:type="dxa"/>
            <w:vAlign w:val="bottom"/>
            <w:tcBorders>
              <w:top w:val="single" w:sz="8" w:color="CCEECC"/>
            </w:tcBorders>
          </w:tcPr>
          <w:p>
            <w:pPr>
              <w:spacing w:after="0"/>
              <w:rPr>
                <w:sz w:val="20"/>
                <w:szCs w:val="20"/>
                <w:color w:val="auto"/>
              </w:rPr>
            </w:pPr>
          </w:p>
        </w:tc>
        <w:tc>
          <w:tcPr>
            <w:tcW w:w="10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CC"/>
            </w:tcBorders>
            <w:gridSpan w:val="2"/>
          </w:tcPr>
          <w:p>
            <w:pPr>
              <w:jc w:val="right"/>
              <w:ind w:right="380"/>
              <w:spacing w:after="0"/>
              <w:rPr>
                <w:sz w:val="20"/>
                <w:szCs w:val="20"/>
                <w:color w:val="auto"/>
              </w:rPr>
            </w:pPr>
            <w:r>
              <w:rPr>
                <w:rFonts w:ascii="Arial" w:cs="Arial" w:eastAsia="Arial" w:hAnsi="Arial"/>
                <w:sz w:val="18"/>
                <w:szCs w:val="18"/>
                <w:color w:val="auto"/>
              </w:rPr>
              <w:t>(10,668)</w:t>
            </w:r>
          </w:p>
        </w:tc>
        <w:tc>
          <w:tcPr>
            <w:tcW w:w="220" w:type="dxa"/>
            <w:vAlign w:val="bottom"/>
            <w:tcBorders>
              <w:top w:val="single" w:sz="8" w:color="CCEECC"/>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CC"/>
            </w:tcBorders>
            <w:gridSpan w:val="2"/>
          </w:tcPr>
          <w:p>
            <w:pPr>
              <w:jc w:val="right"/>
              <w:ind w:right="220"/>
              <w:spacing w:after="0"/>
              <w:rPr>
                <w:sz w:val="20"/>
                <w:szCs w:val="20"/>
                <w:color w:val="auto"/>
              </w:rPr>
            </w:pPr>
            <w:r>
              <w:rPr>
                <w:rFonts w:ascii="Arial" w:cs="Arial" w:eastAsia="Arial" w:hAnsi="Arial"/>
                <w:sz w:val="18"/>
                <w:szCs w:val="18"/>
                <w:color w:val="auto"/>
              </w:rPr>
              <w:t>85,213</w:t>
            </w:r>
          </w:p>
        </w:tc>
        <w:tc>
          <w:tcPr>
            <w:tcW w:w="420" w:type="dxa"/>
            <w:vAlign w:val="bottom"/>
            <w:tcBorders>
              <w:top w:val="single" w:sz="8" w:color="CCEEC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74,545</w:t>
            </w:r>
          </w:p>
        </w:tc>
        <w:tc>
          <w:tcPr>
            <w:tcW w:w="80" w:type="dxa"/>
            <w:vAlign w:val="bottom"/>
            <w:tcBorders>
              <w:top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Total realized and unrealized gains and (losses) (1):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Included in Other,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Included in Other comprehensive income (loss)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(1,353)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(2,032)</w:t>
            </w:r>
          </w:p>
        </w:tc>
      </w:tr>
      <w:tr>
        <w:trPr>
          <w:trHeight w:val="244"/>
        </w:trPr>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(6,924)</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(6,924)</w:t>
            </w:r>
          </w:p>
        </w:tc>
      </w:tr>
      <w:tr>
        <w:trPr>
          <w:trHeight w:val="210"/>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(8,277</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-582295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-299720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4140"/>
          </w:cols>
          <w:pgMar w:left="240" w:top="665"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32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Ending balance</w:t>
            </w:r>
          </w:p>
        </w:tc>
        <w:tc>
          <w:tcPr>
            <w:tcW w:w="3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84,534</w:t>
            </w: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0" w:type="dxa"/>
            <w:vAlign w:val="bottom"/>
            <w:vMerge w:val="restart"/>
          </w:tcPr>
          <w:p>
            <w:pPr>
              <w:jc w:val="right"/>
              <w:ind w:right="139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Financial</w:t>
            </w:r>
          </w:p>
        </w:tc>
        <w:tc>
          <w:tcPr>
            <w:tcW w:w="14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MSRS at Fair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Instruments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tcBorders>
              <w:top w:val="single" w:sz="8" w:color="CCEECC"/>
            </w:tcBorders>
            <w:gridSpan w:val="2"/>
            <w:shd w:val="clear" w:color="auto" w:fill="CCEECC"/>
          </w:tcPr>
          <w:p>
            <w:pPr>
              <w:spacing w:after="0" w:line="170" w:lineRule="exact"/>
              <w:rPr>
                <w:sz w:val="20"/>
                <w:szCs w:val="20"/>
                <w:color w:val="auto"/>
              </w:rPr>
            </w:pPr>
            <w:r>
              <w:rPr>
                <w:rFonts w:ascii="Arial" w:cs="Arial" w:eastAsia="Arial" w:hAnsi="Arial"/>
                <w:sz w:val="18"/>
                <w:szCs w:val="18"/>
                <w:b w:val="1"/>
                <w:bCs w:val="1"/>
                <w:color w:val="auto"/>
              </w:rPr>
              <w:t>Three Months Ended March 31, 2012:</w:t>
            </w:r>
          </w:p>
        </w:tc>
        <w:tc>
          <w:tcPr>
            <w:tcW w:w="208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26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auto"/>
            </w:tcBorders>
            <w:shd w:val="clear" w:color="auto" w:fill="CCEECC"/>
          </w:tcPr>
          <w:p>
            <w:pPr>
              <w:spacing w:after="0"/>
              <w:rPr>
                <w:sz w:val="16"/>
                <w:szCs w:val="16"/>
                <w:color w:val="auto"/>
              </w:rPr>
            </w:pPr>
          </w:p>
        </w:tc>
        <w:tc>
          <w:tcPr>
            <w:tcW w:w="88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auto"/>
            </w:tcBorders>
            <w:shd w:val="clear" w:color="auto" w:fill="CCEECC"/>
          </w:tcPr>
          <w:p>
            <w:pPr>
              <w:spacing w:after="0"/>
              <w:rPr>
                <w:sz w:val="16"/>
                <w:szCs w:val="16"/>
                <w:color w:val="auto"/>
              </w:rPr>
            </w:pPr>
          </w:p>
        </w:tc>
        <w:tc>
          <w:tcPr>
            <w:tcW w:w="82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Beginning balance</w:t>
            </w:r>
          </w:p>
        </w:tc>
        <w:tc>
          <w:tcPr>
            <w:tcW w:w="2300" w:type="dxa"/>
            <w:vAlign w:val="bottom"/>
            <w:tcBorders>
              <w:top w:val="single" w:sz="8" w:color="CCEECC"/>
            </w:tcBorders>
          </w:tcPr>
          <w:p>
            <w:pPr>
              <w:spacing w:after="0"/>
              <w:rPr>
                <w:sz w:val="20"/>
                <w:szCs w:val="20"/>
                <w:color w:val="auto"/>
              </w:rPr>
            </w:pPr>
          </w:p>
        </w:tc>
        <w:tc>
          <w:tcPr>
            <w:tcW w:w="2200" w:type="dxa"/>
            <w:vAlign w:val="bottom"/>
            <w:tcBorders>
              <w:top w:val="single" w:sz="8" w:color="CCEECC"/>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200"/>
              <w:spacing w:after="0"/>
              <w:rPr>
                <w:sz w:val="20"/>
                <w:szCs w:val="20"/>
                <w:color w:val="auto"/>
              </w:rPr>
            </w:pPr>
            <w:r>
              <w:rPr>
                <w:rFonts w:ascii="Arial" w:cs="Arial" w:eastAsia="Arial" w:hAnsi="Arial"/>
                <w:sz w:val="18"/>
                <w:szCs w:val="18"/>
                <w:color w:val="auto"/>
              </w:rPr>
              <w:t>(16,676)</w:t>
            </w:r>
          </w:p>
        </w:tc>
        <w:tc>
          <w:tcPr>
            <w:tcW w:w="380" w:type="dxa"/>
            <w:vAlign w:val="bottom"/>
            <w:tcBorders>
              <w:top w:val="single" w:sz="8" w:color="CCEEC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C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C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CC"/>
            </w:tcBorders>
            <w:gridSpan w:val="3"/>
          </w:tcPr>
          <w:p>
            <w:pPr>
              <w:jc w:val="right"/>
              <w:ind w:right="40"/>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20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Purchases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Issuances</w:t>
            </w:r>
          </w:p>
        </w:tc>
        <w:tc>
          <w:tcPr>
            <w:tcW w:w="20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Settlements</w:t>
            </w:r>
          </w:p>
        </w:tc>
        <w:tc>
          <w:tcPr>
            <w:tcW w:w="208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2,357</w:t>
            </w:r>
          </w:p>
        </w:tc>
        <w:tc>
          <w:tcPr>
            <w:tcW w:w="1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2,357</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Total realized and unrealized gains and (losses) (2):</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Included in Other,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Included in Other comprehensive income (loss)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Transfers in and / or out of Level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3,468</w:t>
            </w:r>
          </w:p>
        </w:tc>
        <w:tc>
          <w:tcPr>
            <w:tcW w:w="5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3,468</w:t>
            </w:r>
          </w:p>
        </w:tc>
        <w:tc>
          <w:tcPr>
            <w:tcW w:w="60" w:type="dxa"/>
            <w:vAlign w:val="bottom"/>
          </w:tcPr>
          <w:p>
            <w:pPr>
              <w:spacing w:after="0"/>
              <w:rPr>
                <w:sz w:val="18"/>
                <w:szCs w:val="18"/>
                <w:color w:val="auto"/>
              </w:rPr>
            </w:pPr>
          </w:p>
        </w:tc>
      </w:tr>
      <w:tr>
        <w:trPr>
          <w:trHeight w:val="244"/>
        </w:trPr>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(1,955)</w:t>
            </w:r>
          </w:p>
        </w:tc>
        <w:tc>
          <w:tcPr>
            <w:tcW w:w="500" w:type="dxa"/>
            <w:vAlign w:val="bottom"/>
          </w:tcPr>
          <w:p>
            <w:pPr>
              <w:spacing w:after="0"/>
              <w:rPr>
                <w:sz w:val="21"/>
                <w:szCs w:val="21"/>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(1,955)</w:t>
            </w: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44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6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194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$(12,806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$(12,806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-1045845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-762635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6600" w:space="720"/>
            <w:col w:w="4100"/>
          </w:cols>
          <w:pgMar w:left="240" w:top="661" w:right="239" w:bottom="1440" w:gutter="0" w:footer="0" w:header="0"/>
          <w:type w:val="continuous"/>
        </w:sectPr>
      </w:pPr>
    </w:p>
    <w:p>
      <w:pPr>
        <w:ind w:left="340" w:right="4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net gains (losses) attributable to derivative financial instruments still held at March 31, 2013 and 2012 were $(4.8) million and $(4.3) million, respectively.</w:t>
      </w:r>
    </w:p>
    <w:p>
      <w:pPr>
        <w:spacing w:after="0" w:line="14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financial instruments and other assets and liabilities measured at fair value on a recurring or non-recurring basis are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originate and purchase residential mortgage loans that we intend to sell to Freddie Mac and Fannie Mae (together with Ginnie Mae the GSEs). We also own residential mortgage loans that are not eligible to be sold to the GSEs due to delinquency or other issues. Residential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as the primary component of the price is obtained from observable values of mortgage forwards for loans of similar terms and characteristics. We have the ability to access this market, and it is the market into which conforming mortgage loans are typically sold.</w:t>
      </w:r>
    </w:p>
    <w:p>
      <w:pPr>
        <w:spacing w:after="0" w:line="13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report all other loans held for sale at the lower of cost or fair value. Current market illiquidity has reduced the availability of observable pricing data for certain of these loans.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 Assumptions used in the valuation of performing loans include historical default rates, re-performance rates on defaulted loans, loss severity on defaulted loans, average resolution timeline, average coupon rate; and a discount rate. Significant assumptions used in the valuation of nonperforming loans include the current market value of the underlying collateral based on third party sources such as appraisals or broker price opinions, resolution timeline, estimated foreclosure and disposition costs that are based on historical experience and a discount rate. The assumptions we used in the valuation of these performing and non-performing loans at March 31, 2013 have not changed significantly from those we used in the December 31, 2012 valuations.</w:t>
      </w:r>
    </w:p>
    <w:p>
      <w:pPr>
        <w:spacing w:after="0" w:line="157"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We repurchase certain loans from Ginnie Mae guaranteed securitizations in connection with loan modifications and loan resolution activity as part of our servicing obligations. These are classified as loans held for sale (and carried at the lower of cost or fair value), as we expect to redeliver (sell) the loans to new Ginnie Mae guaranteed securitizations in the case of modified loans. The fair value of these loans is estimated using published forward Ginnie Mae prices.</w:t>
      </w:r>
    </w:p>
    <w:p>
      <w:pPr>
        <w:jc w:val="both"/>
        <w:ind w:right="200"/>
        <w:spacing w:after="0" w:line="277" w:lineRule="auto"/>
        <w:rPr>
          <w:sz w:val="20"/>
          <w:szCs w:val="20"/>
          <w:color w:val="auto"/>
        </w:rPr>
      </w:pPr>
      <w:r>
        <w:rPr>
          <w:rFonts w:ascii="Arial" w:cs="Arial" w:eastAsia="Arial" w:hAnsi="Arial"/>
          <w:sz w:val="17"/>
          <w:szCs w:val="17"/>
          <w:color w:val="auto"/>
        </w:rPr>
        <w:t>Loans repurchased in connection with loan resolution activities are modified or otherwise remediated through loss mitigation activities or are reclassified to receivables. Because these loans are insured or guaranteed by the Federal Housing Administration (FHA) or U.S Department of Veterans Affairs (VA), the fair value of these loans represents the net recovery value taking into consideration the insured or guaranteed claim.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Mortgage Servicing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9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the valuation of MSRs are the speed at which mortgages prepay and delinquency experience. Other assumptions typically used in the valuation of MSRs are:</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400" w:type="dxa"/>
            <w:vAlign w:val="bottom"/>
          </w:tcPr>
          <w:p>
            <w:pPr>
              <w:ind w:left="140"/>
              <w:spacing w:after="0"/>
              <w:rPr>
                <w:sz w:val="20"/>
                <w:szCs w:val="20"/>
                <w:color w:val="auto"/>
              </w:rPr>
            </w:pPr>
            <w:r>
              <w:rPr>
                <w:rFonts w:ascii="Arial" w:cs="Arial" w:eastAsia="Arial" w:hAnsi="Arial"/>
                <w:sz w:val="18"/>
                <w:szCs w:val="18"/>
                <w:color w:val="auto"/>
              </w:rPr>
              <w:t>Cost of servicing</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w w:val="90"/>
              </w:rPr>
              <w:t>Interest rate used for computing float earnings</w:t>
            </w:r>
          </w:p>
        </w:tc>
      </w:tr>
      <w:tr>
        <w:trPr>
          <w:trHeight w:val="432"/>
        </w:trPr>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4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Compensating interest expense</w:t>
            </w:r>
          </w:p>
        </w:tc>
      </w:tr>
      <w:tr>
        <w:trPr>
          <w:trHeight w:val="432"/>
        </w:trPr>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400" w:type="dxa"/>
            <w:vAlign w:val="bottom"/>
          </w:tcPr>
          <w:p>
            <w:pPr>
              <w:ind w:left="140"/>
              <w:spacing w:after="0"/>
              <w:rPr>
                <w:sz w:val="20"/>
                <w:szCs w:val="20"/>
                <w:color w:val="auto"/>
              </w:rPr>
            </w:pPr>
            <w:r>
              <w:rPr>
                <w:rFonts w:ascii="Arial" w:cs="Arial" w:eastAsia="Arial" w:hAnsi="Arial"/>
                <w:sz w:val="18"/>
                <w:szCs w:val="18"/>
                <w:color w:val="auto"/>
              </w:rPr>
              <w:t>Interest rate used for computing the cost of Servicing advances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Collection rate of other ancillary fees</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8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We perform an impairment analysis based on the difference between the carrying amount and fair value after grouping our loans into the applicable strata.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0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 prepayment speeds and delinquency assumptions from historical experience adjusted for prevailing market conditions. We utilize discount rates provided by third-party valuation experts and we consider external market-based assumptions in determining the interest rate for the cost of financing advances, the interest rate for float earnings and the cost of servicing.</w:t>
      </w:r>
    </w:p>
    <w:p>
      <w:pPr>
        <w:spacing w:after="0" w:line="14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2013 valuation of our MSRs carried at amortized cost include:</w:t>
      </w:r>
    </w:p>
    <w:p>
      <w:pPr>
        <w:spacing w:after="0" w:line="18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Prepayment speeds ranging from 2.45% to 24.67% (weighted average of 15.57%) depending on loan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Delinquency rates ranging from 6.63% to 46.55% (weighted average of 16.25%) depending on loan type;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plus 4% for computing the cost of financing advances;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 ranging from 12.23% to 20% (weighted average of 17.14%).</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MSRs</w:t>
      </w:r>
    </w:p>
    <w:p>
      <w:pPr>
        <w:spacing w:after="0" w:line="18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85" w:lineRule="exact"/>
        <w:rPr>
          <w:sz w:val="20"/>
          <w:szCs w:val="20"/>
          <w:color w:val="auto"/>
        </w:rPr>
      </w:pPr>
    </w:p>
    <w:p>
      <w:pPr>
        <w:ind w:left="660" w:hanging="34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184" w:lineRule="exact"/>
        <w:rPr>
          <w:rFonts w:ascii="Arial" w:cs="Arial" w:eastAsia="Arial" w:hAnsi="Arial"/>
          <w:sz w:val="18"/>
          <w:szCs w:val="18"/>
          <w:color w:val="auto"/>
        </w:rPr>
      </w:pPr>
    </w:p>
    <w:p>
      <w:pPr>
        <w:ind w:left="660" w:hanging="34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198" w:lineRule="exact"/>
        <w:rPr>
          <w:rFonts w:ascii="Arial" w:cs="Arial" w:eastAsia="Arial" w:hAnsi="Arial"/>
          <w:sz w:val="18"/>
          <w:szCs w:val="18"/>
          <w:color w:val="auto"/>
        </w:rPr>
      </w:pPr>
    </w:p>
    <w:p>
      <w:pPr>
        <w:ind w:left="660" w:hanging="34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primary assumptions used in the March 31, 2013 valuation include a 13.2% weighted average constant prepayment rate and a discount rate equal to 1-Month LIBOR plus a range of 7.5% to 9.35%.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0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net realizable value which generally approximates fair value because advances have no stated maturity, generally are realized within a relatively short period of time and do not bear interest.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8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March 31, 2013, the interest on all borrowings under match funded facilities was based on a variable rate adjusted regularly using a market index and therefore the carrying value approximates fair value. For the SSTL, we used a discount rate of 5.16% and the repayment schedule specified in the loan agreement to determine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use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w:t>
      </w:r>
    </w:p>
    <w:p>
      <w:pPr>
        <w:spacing w:after="0" w:line="12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addition, we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forward trades to provide an economic hedge against changes in the fair value of loans held for sale carried at fair value. Forward trades are primarily used to fix the forward sales price that will be realized upon the sale of mortgage loans into the secondary market. Forward contracts are actively traded in the market, thus they are classified within Level 1 of the valuation hierarchy.</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color w:val="auto"/>
        </w:rPr>
        <w:t>We enter into derivative contracts including interest rate swaps, U.S. Treasury futures and forward contracts to hedge against the effects of changes in the value of the MSRs which we carry at fair value. The fair value of interest rate swaps is based upon projected short-term interest rates and volatility based on published market based sources. Because futures and forward contracts are actively traded in the market, they are classified within Level 1 of the valuation hierarchy. Effective April 1, 2013, we modified our strategy for managing the risks of the underlying loan portfolios and no longer use derivative contracts to hedge against the effects of changes in the value of MSRs which we carry at fair value.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18 – Derivative Financial Instruments for additional information regarding derivative financial instruments.</w:t>
      </w:r>
    </w:p>
    <w:p>
      <w:pPr>
        <w:spacing w:after="0" w:line="19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HELD FOR SALE, AT FAIR VALUE</w:t>
      </w:r>
    </w:p>
    <w:p>
      <w:pPr>
        <w:spacing w:after="0" w:line="18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Loans held for sale, at fair value represent mortgage loans originated or purchased and held until sold to secondary market investors, such as GSEs or other third party investors. The following table summarizes the activity in the balance of loans held for sale during the three months ended March 31, 2013: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60" w:type="dxa"/>
            <w:vAlign w:val="bottom"/>
            <w:gridSpan w:val="2"/>
            <w:shd w:val="clear" w:color="auto" w:fill="CCEEC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Originations and purchase of loans held for sale</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2,462,531</w:t>
            </w:r>
          </w:p>
        </w:tc>
        <w:tc>
          <w:tcPr>
            <w:tcW w:w="0" w:type="dxa"/>
            <w:vAlign w:val="bottom"/>
          </w:tcPr>
          <w:p>
            <w:pPr>
              <w:spacing w:after="0"/>
              <w:rPr>
                <w:sz w:val="1"/>
                <w:szCs w:val="1"/>
                <w:color w:val="auto"/>
              </w:rPr>
            </w:pPr>
          </w:p>
        </w:tc>
      </w:tr>
      <w:tr>
        <w:trPr>
          <w:trHeight w:val="216"/>
        </w:trPr>
        <w:tc>
          <w:tcPr>
            <w:tcW w:w="6240" w:type="dxa"/>
            <w:vAlign w:val="bottom"/>
            <w:shd w:val="clear" w:color="auto" w:fill="CCEECC"/>
          </w:tcPr>
          <w:p>
            <w:pPr>
              <w:ind w:left="240"/>
              <w:spacing w:after="0"/>
              <w:rPr>
                <w:sz w:val="20"/>
                <w:szCs w:val="20"/>
                <w:color w:val="auto"/>
              </w:rPr>
            </w:pPr>
            <w:r>
              <w:rPr>
                <w:rFonts w:ascii="Arial" w:cs="Arial" w:eastAsia="Arial" w:hAnsi="Arial"/>
                <w:sz w:val="18"/>
                <w:szCs w:val="18"/>
                <w:color w:val="auto"/>
              </w:rPr>
              <w:t>Proceeds from sale</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7"/>
              </w:rPr>
              <w:t>(2,563,247)</w:t>
            </w: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Loss on sale of loans</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16"/>
        </w:trPr>
        <w:tc>
          <w:tcPr>
            <w:tcW w:w="6240" w:type="dxa"/>
            <w:vAlign w:val="bottom"/>
            <w:shd w:val="clear" w:color="auto" w:fill="CCEECC"/>
          </w:tcPr>
          <w:p>
            <w:pPr>
              <w:ind w:left="240"/>
              <w:spacing w:after="0"/>
              <w:rPr>
                <w:sz w:val="20"/>
                <w:szCs w:val="20"/>
                <w:color w:val="auto"/>
              </w:rPr>
            </w:pPr>
            <w:r>
              <w:rPr>
                <w:rFonts w:ascii="Arial" w:cs="Arial" w:eastAsia="Arial" w:hAnsi="Arial"/>
                <w:sz w:val="18"/>
                <w:szCs w:val="18"/>
                <w:color w:val="auto"/>
              </w:rPr>
              <w:t>Decrease in fair value</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6240" w:type="dxa"/>
            <w:vAlign w:val="bottom"/>
          </w:tcPr>
          <w:p>
            <w:pPr>
              <w:ind w:left="240"/>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March 31, 2013</w:t>
            </w:r>
          </w:p>
        </w:tc>
        <w:tc>
          <w:tcPr>
            <w:tcW w:w="258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CCEECC"/>
              <w:bottom w:val="single" w:sz="8" w:color="CCEECC"/>
            </w:tcBorders>
            <w:shd w:val="clear" w:color="auto" w:fill="CCEECC"/>
          </w:tcPr>
          <w:p>
            <w:pPr>
              <w:spacing w:after="0"/>
              <w:rPr>
                <w:sz w:val="19"/>
                <w:szCs w:val="19"/>
                <w:color w:val="auto"/>
              </w:rPr>
            </w:pPr>
          </w:p>
        </w:tc>
        <w:tc>
          <w:tcPr>
            <w:tcW w:w="7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295,514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gridSpan w:val="3"/>
            <w:vMerge w:val="restart"/>
          </w:tcPr>
          <w:p>
            <w:pPr>
              <w:ind w:left="340"/>
              <w:spacing w:after="0"/>
              <w:rPr>
                <w:sz w:val="20"/>
                <w:szCs w:val="20"/>
                <w:color w:val="auto"/>
              </w:rPr>
            </w:pPr>
            <w:r>
              <w:rPr>
                <w:rFonts w:ascii="Arial" w:cs="Arial" w:eastAsia="Arial" w:hAnsi="Arial"/>
                <w:sz w:val="18"/>
                <w:szCs w:val="18"/>
                <w:color w:val="auto"/>
                <w:w w:val="91"/>
              </w:rPr>
              <w:t>The following table summarizes the activity in Gain on loans held for sale, net, during the three months ended March 31:</w:t>
            </w: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1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40" w:type="dxa"/>
            <w:vAlign w:val="bottom"/>
            <w:tcBorders>
              <w:bottom w:val="single" w:sz="8" w:color="CCEECC"/>
            </w:tcBorders>
          </w:tcPr>
          <w:p>
            <w:pPr>
              <w:spacing w:after="0"/>
              <w:rPr>
                <w:sz w:val="24"/>
                <w:szCs w:val="24"/>
                <w:color w:val="auto"/>
              </w:rPr>
            </w:pPr>
          </w:p>
        </w:tc>
        <w:tc>
          <w:tcPr>
            <w:tcW w:w="2580" w:type="dxa"/>
            <w:vAlign w:val="bottom"/>
            <w:tcBorders>
              <w:bottom w:val="single" w:sz="8" w:color="CCEE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Borders>
              <w:bottom w:val="single" w:sz="8" w:color="CCEECC"/>
            </w:tcBorders>
          </w:tcPr>
          <w:p>
            <w:pPr>
              <w:spacing w:after="0"/>
              <w:rPr>
                <w:sz w:val="24"/>
                <w:szCs w:val="24"/>
                <w:color w:val="auto"/>
              </w:rPr>
            </w:pPr>
          </w:p>
        </w:tc>
        <w:tc>
          <w:tcPr>
            <w:tcW w:w="200" w:type="dxa"/>
            <w:vAlign w:val="bottom"/>
            <w:tcBorders>
              <w:bottom w:val="single" w:sz="8" w:color="CCEEC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CC"/>
          </w:tcPr>
          <w:p>
            <w:pPr>
              <w:spacing w:after="0"/>
              <w:rPr>
                <w:sz w:val="20"/>
                <w:szCs w:val="20"/>
                <w:color w:val="auto"/>
              </w:rPr>
            </w:pPr>
            <w:r>
              <w:rPr>
                <w:rFonts w:ascii="Arial" w:cs="Arial" w:eastAsia="Arial" w:hAnsi="Arial"/>
                <w:sz w:val="18"/>
                <w:szCs w:val="18"/>
                <w:color w:val="auto"/>
              </w:rPr>
              <w:t>Loss on sales of loans (1)</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Changes in fair value of IRLCs</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CC"/>
          </w:tcPr>
          <w:p>
            <w:pPr>
              <w:spacing w:after="0"/>
              <w:rPr>
                <w:sz w:val="20"/>
                <w:szCs w:val="20"/>
                <w:color w:val="auto"/>
              </w:rPr>
            </w:pPr>
            <w:r>
              <w:rPr>
                <w:rFonts w:ascii="Arial" w:cs="Arial" w:eastAsia="Arial" w:hAnsi="Arial"/>
                <w:sz w:val="18"/>
                <w:szCs w:val="18"/>
                <w:color w:val="auto"/>
              </w:rPr>
              <w:t>Change in fair value of loans held for sale</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Gain on hedge instruments</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10,189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CC"/>
          </w:tcPr>
          <w:p>
            <w:pPr>
              <w:spacing w:after="0"/>
              <w:rPr>
                <w:sz w:val="20"/>
                <w:szCs w:val="20"/>
                <w:color w:val="auto"/>
              </w:rPr>
            </w:pPr>
            <w:r>
              <w:rPr>
                <w:rFonts w:ascii="Arial" w:cs="Arial" w:eastAsia="Arial" w:hAnsi="Arial"/>
                <w:sz w:val="18"/>
                <w:szCs w:val="18"/>
                <w:color w:val="auto"/>
              </w:rPr>
              <w:t>Provision for representations and warranties</w:t>
            </w:r>
          </w:p>
        </w:tc>
        <w:tc>
          <w:tcPr>
            <w:tcW w:w="25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CC"/>
              <w:bottom w:val="single" w:sz="8" w:color="CCEECC"/>
            </w:tcBorders>
            <w:shd w:val="clear" w:color="auto" w:fill="CCEECC"/>
          </w:tcPr>
          <w:p>
            <w:pPr>
              <w:spacing w:after="0"/>
              <w:rPr>
                <w:sz w:val="19"/>
                <w:szCs w:val="19"/>
                <w:color w:val="auto"/>
              </w:rPr>
            </w:pPr>
          </w:p>
        </w:tc>
        <w:tc>
          <w:tcPr>
            <w:tcW w:w="258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6,749</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auto"/>
              <w:bottom w:val="single" w:sz="8" w:color="auto"/>
            </w:tcBorders>
            <w:shd w:val="clear" w:color="auto" w:fill="CCEE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Net of a gain of $28,705 representing the value assigned to MSRs retained on sales of loans.</w:t>
      </w:r>
    </w:p>
    <w:p>
      <w:pPr>
        <w:spacing w:after="0" w:line="19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ADVANCES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4"/>
          </w:tcPr>
          <w:p>
            <w:pPr>
              <w:ind w:left="2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CCEECC"/>
            </w:tcBorders>
          </w:tcPr>
          <w:p>
            <w:pPr>
              <w:spacing w:after="0"/>
              <w:rPr>
                <w:sz w:val="20"/>
                <w:szCs w:val="20"/>
                <w:color w:val="auto"/>
              </w:rPr>
            </w:pPr>
          </w:p>
        </w:tc>
        <w:tc>
          <w:tcPr>
            <w:tcW w:w="46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Servicing:</w:t>
            </w:r>
          </w:p>
        </w:tc>
        <w:tc>
          <w:tcPr>
            <w:tcW w:w="4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40"/>
              <w:spacing w:after="0"/>
              <w:rPr>
                <w:sz w:val="20"/>
                <w:szCs w:val="20"/>
                <w:color w:val="auto"/>
              </w:rPr>
            </w:pPr>
            <w:r>
              <w:rPr>
                <w:rFonts w:ascii="Arial" w:cs="Arial" w:eastAsia="Arial" w:hAnsi="Arial"/>
                <w:sz w:val="18"/>
                <w:szCs w:val="18"/>
                <w:color w:val="auto"/>
              </w:rPr>
              <w:t>Principal and interest</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162,341</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16"/>
        </w:trPr>
        <w:tc>
          <w:tcPr>
            <w:tcW w:w="42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Taxes and insurance</w:t>
            </w:r>
          </w:p>
        </w:tc>
        <w:tc>
          <w:tcPr>
            <w:tcW w:w="4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342,216</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Foreclosures, bankruptcy and other</w:t>
            </w: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CC"/>
            </w:tcBorders>
            <w:shd w:val="clear" w:color="auto" w:fill="CCEECC"/>
          </w:tcPr>
          <w:p>
            <w:pPr>
              <w:spacing w:after="0"/>
              <w:rPr>
                <w:sz w:val="18"/>
                <w:szCs w:val="18"/>
                <w:color w:val="auto"/>
              </w:rPr>
            </w:pPr>
          </w:p>
        </w:tc>
        <w:tc>
          <w:tcPr>
            <w:tcW w:w="46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522,032</w:t>
            </w:r>
          </w:p>
        </w:tc>
        <w:tc>
          <w:tcPr>
            <w:tcW w:w="22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Corporate Items and Other</w:t>
            </w: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CC"/>
              <w:bottom w:val="single" w:sz="8" w:color="CCEECC"/>
            </w:tcBorders>
            <w:shd w:val="clear" w:color="auto" w:fill="CCEECC"/>
          </w:tcPr>
          <w:p>
            <w:pPr>
              <w:spacing w:after="0"/>
              <w:rPr>
                <w:sz w:val="19"/>
                <w:szCs w:val="19"/>
                <w:color w:val="auto"/>
              </w:rPr>
            </w:pPr>
          </w:p>
        </w:tc>
        <w:tc>
          <w:tcPr>
            <w:tcW w:w="46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530,172</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184,463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20" w:type="dxa"/>
            <w:vAlign w:val="bottom"/>
            <w:vMerge w:val="restart"/>
          </w:tcPr>
          <w:p>
            <w:pPr>
              <w:jc w:val="right"/>
              <w:ind w:right="29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2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NOTE 8   MATCH FUNDED ADVANCES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20" w:type="dxa"/>
            <w:vAlign w:val="bottom"/>
            <w:gridSpan w:val="6"/>
          </w:tcPr>
          <w:p>
            <w:pPr>
              <w:ind w:left="340"/>
              <w:spacing w:after="0"/>
              <w:rPr>
                <w:sz w:val="20"/>
                <w:szCs w:val="20"/>
                <w:color w:val="auto"/>
              </w:rPr>
            </w:pPr>
            <w:r>
              <w:rPr>
                <w:rFonts w:ascii="Arial" w:cs="Arial" w:eastAsia="Arial" w:hAnsi="Arial"/>
                <w:sz w:val="18"/>
                <w:szCs w:val="18"/>
                <w:color w:val="auto"/>
                <w:w w:val="91"/>
              </w:rPr>
              <w:t>Match funded advances on residential mortgage loans that we service for others are comprised of the following at the dates indicated: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CC"/>
            </w:tcBorders>
          </w:tcPr>
          <w:p>
            <w:pPr>
              <w:spacing w:after="0"/>
              <w:rPr>
                <w:sz w:val="20"/>
                <w:szCs w:val="20"/>
                <w:color w:val="auto"/>
              </w:rPr>
            </w:pPr>
          </w:p>
        </w:tc>
        <w:tc>
          <w:tcPr>
            <w:tcW w:w="6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CCEECC"/>
            </w:tcBorders>
          </w:tcPr>
          <w:p>
            <w:pPr>
              <w:spacing w:after="0"/>
              <w:rPr>
                <w:sz w:val="20"/>
                <w:szCs w:val="20"/>
                <w:color w:val="auto"/>
              </w:rPr>
            </w:pPr>
          </w:p>
        </w:tc>
        <w:tc>
          <w:tcPr>
            <w:tcW w:w="26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CC"/>
          </w:tcPr>
          <w:p>
            <w:pPr>
              <w:spacing w:after="0"/>
              <w:rPr>
                <w:sz w:val="20"/>
                <w:szCs w:val="20"/>
                <w:color w:val="auto"/>
              </w:rPr>
            </w:pPr>
            <w:r>
              <w:rPr>
                <w:rFonts w:ascii="Arial" w:cs="Arial" w:eastAsia="Arial" w:hAnsi="Arial"/>
                <w:sz w:val="18"/>
                <w:szCs w:val="18"/>
                <w:color w:val="auto"/>
              </w:rPr>
              <w:t>Principal and interest</w:t>
            </w:r>
          </w:p>
        </w:tc>
        <w:tc>
          <w:tcPr>
            <w:tcW w:w="6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1,716,624</w:t>
            </w:r>
          </w:p>
        </w:tc>
        <w:tc>
          <w:tcPr>
            <w:tcW w:w="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1,577,808</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Taxes and insurance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1,215,431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1,148,486</w:t>
            </w:r>
          </w:p>
        </w:tc>
        <w:tc>
          <w:tcPr>
            <w:tcW w:w="0" w:type="dxa"/>
            <w:vAlign w:val="bottom"/>
          </w:tcPr>
          <w:p>
            <w:pPr>
              <w:spacing w:after="0"/>
              <w:rPr>
                <w:sz w:val="1"/>
                <w:szCs w:val="1"/>
                <w:color w:val="auto"/>
              </w:rPr>
            </w:pPr>
          </w:p>
        </w:tc>
      </w:tr>
      <w:tr>
        <w:trPr>
          <w:trHeight w:val="230"/>
        </w:trPr>
        <w:tc>
          <w:tcPr>
            <w:tcW w:w="8160" w:type="dxa"/>
            <w:vAlign w:val="bottom"/>
            <w:shd w:val="clear" w:color="auto" w:fill="CCEECC"/>
          </w:tcPr>
          <w:p>
            <w:pPr>
              <w:spacing w:after="0"/>
              <w:rPr>
                <w:sz w:val="20"/>
                <w:szCs w:val="20"/>
                <w:color w:val="auto"/>
              </w:rPr>
            </w:pPr>
            <w:r>
              <w:rPr>
                <w:rFonts w:ascii="Arial" w:cs="Arial" w:eastAsia="Arial" w:hAnsi="Arial"/>
                <w:sz w:val="18"/>
                <w:szCs w:val="18"/>
                <w:color w:val="auto"/>
              </w:rPr>
              <w:t>Foreclosures, bankruptcy, real estate and other</w:t>
            </w:r>
          </w:p>
        </w:tc>
        <w:tc>
          <w:tcPr>
            <w:tcW w:w="6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504,028</w:t>
            </w:r>
          </w:p>
        </w:tc>
        <w:tc>
          <w:tcPr>
            <w:tcW w:w="2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322,950</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3,436,083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3,049,244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9   MORTGAGE SERVICING</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60" w:type="dxa"/>
            <w:vAlign w:val="bottom"/>
          </w:tcPr>
          <w:p>
            <w:pPr>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340"/>
              <w:spacing w:after="0"/>
              <w:rPr>
                <w:sz w:val="20"/>
                <w:szCs w:val="20"/>
                <w:color w:val="auto"/>
              </w:rPr>
            </w:pPr>
            <w:r>
              <w:rPr>
                <w:rFonts w:ascii="Arial" w:cs="Arial" w:eastAsia="Arial" w:hAnsi="Arial"/>
                <w:sz w:val="18"/>
                <w:szCs w:val="18"/>
                <w:color w:val="auto"/>
                <w:w w:val="99"/>
              </w:rPr>
              <w:t>The following table summarizes our activity related to MSRs for the three months ended March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Borders>
              <w:bottom w:val="single" w:sz="8" w:color="CCEECC"/>
            </w:tcBorders>
          </w:tcPr>
          <w:p>
            <w:pPr>
              <w:spacing w:after="0"/>
              <w:rPr>
                <w:sz w:val="24"/>
                <w:szCs w:val="24"/>
                <w:color w:val="auto"/>
              </w:rPr>
            </w:pPr>
          </w:p>
        </w:tc>
        <w:tc>
          <w:tcPr>
            <w:tcW w:w="660" w:type="dxa"/>
            <w:vAlign w:val="bottom"/>
            <w:tcBorders>
              <w:bottom w:val="single" w:sz="8" w:color="CCEEC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CCEECC"/>
            </w:tcBorders>
          </w:tcPr>
          <w:p>
            <w:pPr>
              <w:spacing w:after="0"/>
              <w:rPr>
                <w:sz w:val="24"/>
                <w:szCs w:val="24"/>
                <w:color w:val="auto"/>
              </w:rPr>
            </w:pPr>
          </w:p>
        </w:tc>
        <w:tc>
          <w:tcPr>
            <w:tcW w:w="160" w:type="dxa"/>
            <w:vAlign w:val="bottom"/>
            <w:tcBorders>
              <w:bottom w:val="single" w:sz="8" w:color="CCEECC"/>
            </w:tcBorders>
          </w:tcPr>
          <w:p>
            <w:pPr>
              <w:spacing w:after="0"/>
              <w:rPr>
                <w:sz w:val="24"/>
                <w:szCs w:val="24"/>
                <w:color w:val="auto"/>
              </w:rPr>
            </w:pPr>
          </w:p>
        </w:tc>
        <w:tc>
          <w:tcPr>
            <w:tcW w:w="2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6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676,712</w:t>
            </w:r>
          </w:p>
        </w:tc>
        <w:tc>
          <w:tcPr>
            <w:tcW w:w="260" w:type="dxa"/>
            <w:vAlign w:val="bottom"/>
            <w:shd w:val="clear" w:color="auto" w:fill="CCEECC"/>
          </w:tcPr>
          <w:p>
            <w:pPr>
              <w:spacing w:after="0"/>
              <w:rPr>
                <w:sz w:val="18"/>
                <w:szCs w:val="18"/>
                <w:color w:val="auto"/>
              </w:rPr>
            </w:pPr>
          </w:p>
        </w:tc>
        <w:tc>
          <w:tcPr>
            <w:tcW w:w="180" w:type="dxa"/>
            <w:vAlign w:val="bottom"/>
            <w:gridSpan w:val="2"/>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293,152</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purchase transactions (1)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394,862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Additions recognized on sale of residential mortgage loans</w:t>
            </w:r>
          </w:p>
        </w:tc>
        <w:tc>
          <w:tcPr>
            <w:tcW w:w="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28,705</w:t>
            </w:r>
          </w:p>
        </w:tc>
        <w:tc>
          <w:tcPr>
            <w:tcW w:w="1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Servicing transfers, adjustments and 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81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Amortization (2)</w:t>
            </w:r>
          </w:p>
        </w:tc>
        <w:tc>
          <w:tcPr>
            <w:tcW w:w="6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00" w:type="dxa"/>
            <w:vAlign w:val="bottom"/>
            <w:gridSpan w:val="3"/>
            <w:shd w:val="clear" w:color="auto" w:fill="CCEECC"/>
          </w:tcPr>
          <w:p>
            <w:pPr>
              <w:jc w:val="right"/>
              <w:ind w:right="200"/>
              <w:spacing w:after="0"/>
              <w:rPr>
                <w:sz w:val="20"/>
                <w:szCs w:val="20"/>
                <w:color w:val="auto"/>
              </w:rPr>
            </w:pPr>
            <w:r>
              <w:rPr>
                <w:rFonts w:ascii="Arial" w:cs="Arial" w:eastAsia="Arial" w:hAnsi="Arial"/>
                <w:sz w:val="18"/>
                <w:szCs w:val="18"/>
                <w:color w:val="auto"/>
              </w:rPr>
              <w:t>(47,987)</w:t>
            </w:r>
          </w:p>
        </w:tc>
        <w:tc>
          <w:tcPr>
            <w:tcW w:w="1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Balance at March 31, 2013</w:t>
            </w:r>
          </w:p>
        </w:tc>
        <w:tc>
          <w:tcPr>
            <w:tcW w:w="660" w:type="dxa"/>
            <w:vAlign w:val="bottom"/>
            <w:tcBorders>
              <w:bottom w:val="single" w:sz="8" w:color="CCEEC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1,052,168</w:t>
            </w:r>
          </w:p>
        </w:tc>
        <w:tc>
          <w:tcPr>
            <w:tcW w:w="260" w:type="dxa"/>
            <w:vAlign w:val="bottom"/>
            <w:tcBorders>
              <w:bottom w:val="single" w:sz="8" w:color="CCEECC"/>
            </w:tcBorders>
          </w:tcPr>
          <w:p>
            <w:pPr>
              <w:spacing w:after="0"/>
              <w:rPr>
                <w:sz w:val="22"/>
                <w:szCs w:val="22"/>
                <w:color w:val="auto"/>
              </w:rPr>
            </w:pPr>
          </w:p>
        </w:tc>
        <w:tc>
          <w:tcPr>
            <w:tcW w:w="180" w:type="dxa"/>
            <w:vAlign w:val="bottom"/>
            <w:tcBorders>
              <w:bottom w:val="single" w:sz="8" w:color="CCEECC"/>
            </w:tcBorders>
            <w:gridSpan w:val="2"/>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277,716</w:t>
            </w:r>
          </w:p>
        </w:tc>
        <w:tc>
          <w:tcPr>
            <w:tcW w:w="100" w:type="dxa"/>
            <w:vAlign w:val="bottom"/>
            <w:tcBorders>
              <w:bottom w:val="single" w:sz="8" w:color="CCEE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60" w:type="dxa"/>
            <w:vAlign w:val="bottom"/>
            <w:tcBorders>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Estimated fair value at March 31</w:t>
            </w:r>
          </w:p>
        </w:tc>
        <w:tc>
          <w:tcPr>
            <w:tcW w:w="66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CC"/>
          </w:tcPr>
          <w:p>
            <w:pPr>
              <w:jc w:val="right"/>
              <w:spacing w:after="0" w:line="196" w:lineRule="exact"/>
              <w:rPr>
                <w:sz w:val="20"/>
                <w:szCs w:val="20"/>
                <w:color w:val="auto"/>
              </w:rPr>
            </w:pPr>
            <w:r>
              <w:rPr>
                <w:rFonts w:ascii="Arial" w:cs="Arial" w:eastAsia="Arial" w:hAnsi="Arial"/>
                <w:sz w:val="18"/>
                <w:szCs w:val="18"/>
                <w:color w:val="auto"/>
              </w:rPr>
              <w:t>1,288,732</w:t>
            </w:r>
          </w:p>
        </w:tc>
        <w:tc>
          <w:tcPr>
            <w:tcW w:w="260" w:type="dxa"/>
            <w:vAlign w:val="bottom"/>
            <w:tcBorders>
              <w:bottom w:val="single" w:sz="8" w:color="CCEECC"/>
            </w:tcBorders>
            <w:shd w:val="clear" w:color="auto" w:fill="CCEECC"/>
          </w:tcPr>
          <w:p>
            <w:pPr>
              <w:spacing w:after="0"/>
              <w:rPr>
                <w:sz w:val="17"/>
                <w:szCs w:val="17"/>
                <w:color w:val="auto"/>
              </w:rPr>
            </w:pPr>
          </w:p>
        </w:tc>
        <w:tc>
          <w:tcPr>
            <w:tcW w:w="180" w:type="dxa"/>
            <w:vAlign w:val="bottom"/>
            <w:tcBorders>
              <w:bottom w:val="single" w:sz="8" w:color="CCEECC"/>
            </w:tcBorders>
            <w:gridSpan w:val="2"/>
            <w:shd w:val="clear" w:color="auto" w:fill="CCEECC"/>
          </w:tcPr>
          <w:p>
            <w:pPr>
              <w:spacing w:after="0"/>
              <w:rPr>
                <w:sz w:val="17"/>
                <w:szCs w:val="17"/>
                <w:color w:val="auto"/>
              </w:rPr>
            </w:pPr>
          </w:p>
        </w:tc>
        <w:tc>
          <w:tcPr>
            <w:tcW w:w="20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316,078</w:t>
            </w: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$393.9 million acquired in the ResCap Acquisition. See Note 3 – Business Acquisitions for additional information.</w:t>
      </w:r>
    </w:p>
    <w:p>
      <w:pPr>
        <w:spacing w:after="0" w:line="198"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Amortization of mortgage servicing rights is reported net of the amortization of servicing liabilities and includes the amount of charges we recognized to increase servicing liability obligations.</w:t>
      </w:r>
    </w:p>
    <w:p>
      <w:pPr>
        <w:spacing w:after="0" w:line="130"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As disclosed in Note 4 – Asset Sales and Financing, we sold certain Rights to MSRs during 2012 and in the first quarter of 2013 as part of the HLSS Transactions. The carrying value of the related MSRs which have not been derecognized at March 31, 2013 was $357.0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This portfolio comprises servicing rights for which we elected the fair value option and includes prime mortgage loans that were acquired by Homeward through asset or flow purchases or retained on loans originated and subsequently sold for which we hedged the related market risks. The following table summarizes our activity related to our fair value MSRs for the three months ended March 31, 2013: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370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Due to changes in valuation assumptions</w:t>
            </w:r>
          </w:p>
        </w:tc>
        <w:tc>
          <w:tcPr>
            <w:tcW w:w="34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4,650</w:t>
            </w:r>
          </w:p>
        </w:tc>
      </w:tr>
      <w:tr>
        <w:trPr>
          <w:trHeight w:val="230"/>
        </w:trPr>
        <w:tc>
          <w:tcPr>
            <w:tcW w:w="6900" w:type="dxa"/>
            <w:vAlign w:val="bottom"/>
          </w:tcPr>
          <w:p>
            <w:pPr>
              <w:ind w:left="320"/>
              <w:spacing w:after="0"/>
              <w:rPr>
                <w:sz w:val="20"/>
                <w:szCs w:val="20"/>
                <w:color w:val="auto"/>
              </w:rPr>
            </w:pPr>
            <w:r>
              <w:rPr>
                <w:rFonts w:ascii="Arial" w:cs="Arial" w:eastAsia="Arial" w:hAnsi="Arial"/>
                <w:sz w:val="18"/>
                <w:szCs w:val="18"/>
                <w:color w:val="auto"/>
              </w:rPr>
              <w:t>Realization of cash flows and other changes</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(5,329)</w:t>
            </w:r>
          </w:p>
        </w:tc>
      </w:tr>
      <w:tr>
        <w:trPr>
          <w:trHeight w:val="223"/>
        </w:trPr>
        <w:tc>
          <w:tcPr>
            <w:tcW w:w="690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March 31, 2013</w:t>
            </w:r>
          </w:p>
        </w:tc>
        <w:tc>
          <w:tcPr>
            <w:tcW w:w="340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84,534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fair value of our MSRs as of March 31, 2013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Adverse change in fair value</w:t>
            </w:r>
          </w:p>
        </w:tc>
      </w:tr>
      <w:tr>
        <w:trPr>
          <w:trHeight w:val="223"/>
        </w:trPr>
        <w:tc>
          <w:tcPr>
            <w:tcW w:w="5820" w:type="dxa"/>
            <w:vAlign w:val="bottom"/>
            <w:tcBorders>
              <w:bottom w:val="single" w:sz="8" w:color="CCEECC"/>
            </w:tcBorders>
          </w:tcPr>
          <w:p>
            <w:pPr>
              <w:spacing w:after="0"/>
              <w:rPr>
                <w:sz w:val="19"/>
                <w:szCs w:val="19"/>
                <w:color w:val="auto"/>
              </w:rPr>
            </w:pPr>
          </w:p>
        </w:tc>
        <w:tc>
          <w:tcPr>
            <w:tcW w:w="3000" w:type="dxa"/>
            <w:vAlign w:val="bottom"/>
            <w:tcBorders>
              <w:bottom w:val="single" w:sz="8" w:color="CCEE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CCEECC"/>
            </w:tcBorders>
          </w:tcPr>
          <w:p>
            <w:pPr>
              <w:spacing w:after="0"/>
              <w:rPr>
                <w:sz w:val="19"/>
                <w:szCs w:val="19"/>
                <w:color w:val="auto"/>
              </w:rPr>
            </w:pPr>
          </w:p>
        </w:tc>
        <w:tc>
          <w:tcPr>
            <w:tcW w:w="200" w:type="dxa"/>
            <w:vAlign w:val="bottom"/>
            <w:tcBorders>
              <w:top w:val="single" w:sz="8" w:color="auto"/>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CC"/>
            </w:tcBorders>
          </w:tcPr>
          <w:p>
            <w:pPr>
              <w:spacing w:after="0"/>
              <w:rPr>
                <w:sz w:val="19"/>
                <w:szCs w:val="19"/>
                <w:color w:val="auto"/>
              </w:rPr>
            </w:pPr>
          </w:p>
        </w:tc>
      </w:tr>
      <w:tr>
        <w:trPr>
          <w:trHeight w:val="210"/>
        </w:trPr>
        <w:tc>
          <w:tcPr>
            <w:tcW w:w="5820" w:type="dxa"/>
            <w:vAlign w:val="bottom"/>
            <w:shd w:val="clear" w:color="auto" w:fill="CCEECC"/>
          </w:tcPr>
          <w:p>
            <w:pPr>
              <w:spacing w:after="0"/>
              <w:rPr>
                <w:sz w:val="20"/>
                <w:szCs w:val="20"/>
                <w:color w:val="auto"/>
              </w:rPr>
            </w:pPr>
            <w:r>
              <w:rPr>
                <w:rFonts w:ascii="Arial" w:cs="Arial" w:eastAsia="Arial" w:hAnsi="Arial"/>
                <w:sz w:val="18"/>
                <w:szCs w:val="18"/>
                <w:color w:val="auto"/>
              </w:rPr>
              <w:t>Weighted average prepayment speeds</w:t>
            </w:r>
          </w:p>
        </w:tc>
        <w:tc>
          <w:tcPr>
            <w:tcW w:w="300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ind w:left="440"/>
              <w:spacing w:after="0"/>
              <w:rPr>
                <w:sz w:val="20"/>
                <w:szCs w:val="20"/>
                <w:color w:val="auto"/>
              </w:rPr>
            </w:pPr>
            <w:r>
              <w:rPr>
                <w:rFonts w:ascii="Arial" w:cs="Arial" w:eastAsia="Arial" w:hAnsi="Arial"/>
                <w:sz w:val="18"/>
                <w:szCs w:val="18"/>
                <w:color w:val="auto"/>
                <w:w w:val="80"/>
              </w:rPr>
              <w:t>(5,164)</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CC"/>
          </w:tcPr>
          <w:p>
            <w:pPr>
              <w:ind w:left="320"/>
              <w:spacing w:after="0"/>
              <w:rPr>
                <w:sz w:val="20"/>
                <w:szCs w:val="20"/>
                <w:color w:val="auto"/>
              </w:rPr>
            </w:pPr>
            <w:r>
              <w:rPr>
                <w:rFonts w:ascii="Arial" w:cs="Arial" w:eastAsia="Arial" w:hAnsi="Arial"/>
                <w:sz w:val="18"/>
                <w:szCs w:val="18"/>
                <w:color w:val="auto"/>
                <w:w w:val="80"/>
              </w:rPr>
              <w:t>(9,912)</w:t>
            </w:r>
          </w:p>
        </w:tc>
        <w:tc>
          <w:tcPr>
            <w:tcW w:w="100" w:type="dxa"/>
            <w:vAlign w:val="bottom"/>
            <w:shd w:val="clear" w:color="auto" w:fill="CCEECC"/>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Discount rate (Option-adjusted spread)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(2,804)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98"/>
              </w:rPr>
              <w:t>(5,444)</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9020" w:type="dxa"/>
            <w:vAlign w:val="bottom"/>
            <w:gridSpan w:val="3"/>
          </w:tcPr>
          <w:p>
            <w:pPr>
              <w:ind w:left="340"/>
              <w:spacing w:after="0"/>
              <w:rPr>
                <w:sz w:val="20"/>
                <w:szCs w:val="20"/>
                <w:color w:val="auto"/>
              </w:rPr>
            </w:pPr>
            <w:r>
              <w:rPr>
                <w:rFonts w:ascii="Arial" w:cs="Arial" w:eastAsia="Arial" w:hAnsi="Arial"/>
                <w:sz w:val="18"/>
                <w:szCs w:val="18"/>
                <w:color w:val="auto"/>
                <w:w w:val="92"/>
              </w:rPr>
              <w:t>The following table presents the components of servicing and subservicing fees for the three months ended March 31:</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380" w:type="dxa"/>
            <w:vAlign w:val="bottom"/>
            <w:tcBorders>
              <w:bottom w:val="single" w:sz="8" w:color="CCEECC"/>
            </w:tcBorders>
          </w:tcPr>
          <w:p>
            <w:pPr>
              <w:spacing w:after="0"/>
              <w:rPr>
                <w:sz w:val="24"/>
                <w:szCs w:val="24"/>
                <w:color w:val="auto"/>
              </w:rPr>
            </w:pPr>
          </w:p>
        </w:tc>
        <w:tc>
          <w:tcPr>
            <w:tcW w:w="244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4"/>
                <w:szCs w:val="24"/>
                <w:color w:val="auto"/>
              </w:rPr>
            </w:pPr>
          </w:p>
        </w:tc>
      </w:tr>
      <w:tr>
        <w:trPr>
          <w:trHeight w:val="210"/>
        </w:trPr>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Loan servicing and subservicing fees</w:t>
            </w:r>
          </w:p>
        </w:tc>
        <w:tc>
          <w:tcPr>
            <w:tcW w:w="24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269,022</w:t>
            </w: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112,589</w:t>
            </w:r>
          </w:p>
        </w:tc>
        <w:tc>
          <w:tcPr>
            <w:tcW w:w="100" w:type="dxa"/>
            <w:vAlign w:val="bottom"/>
            <w:shd w:val="clear" w:color="auto" w:fill="CCEEC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40,147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12,684</w:t>
            </w:r>
          </w:p>
        </w:tc>
      </w:tr>
      <w:tr>
        <w:trPr>
          <w:trHeight w:val="216"/>
        </w:trPr>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Late charges</w:t>
            </w:r>
          </w:p>
        </w:tc>
        <w:tc>
          <w:tcPr>
            <w:tcW w:w="24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25,896</w:t>
            </w: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18,845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Loan collection fees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6,382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16"/>
        </w:trPr>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Float earnings</w:t>
            </w:r>
          </w:p>
        </w:tc>
        <w:tc>
          <w:tcPr>
            <w:tcW w:w="24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787</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26,182</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6,859</w:t>
            </w:r>
          </w:p>
        </w:tc>
      </w:tr>
      <w:tr>
        <w:trPr>
          <w:trHeight w:val="223"/>
        </w:trPr>
        <w:tc>
          <w:tcPr>
            <w:tcW w:w="6380" w:type="dxa"/>
            <w:vAlign w:val="bottom"/>
            <w:tcBorders>
              <w:top w:val="single" w:sz="8" w:color="CCEECC"/>
              <w:bottom w:val="single" w:sz="8" w:color="CCEECC"/>
            </w:tcBorders>
            <w:shd w:val="clear" w:color="auto" w:fill="CCEECC"/>
          </w:tcPr>
          <w:p>
            <w:pPr>
              <w:spacing w:after="0"/>
              <w:rPr>
                <w:sz w:val="19"/>
                <w:szCs w:val="19"/>
                <w:color w:val="auto"/>
              </w:rPr>
            </w:pPr>
          </w:p>
        </w:tc>
        <w:tc>
          <w:tcPr>
            <w:tcW w:w="24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369,309</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155,103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8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Residential</w:t>
            </w:r>
          </w:p>
        </w:tc>
        <w:tc>
          <w:tcPr>
            <w:tcW w:w="24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20"/>
                <w:szCs w:val="20"/>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UPB at March 31, 2013</w:t>
            </w:r>
          </w:p>
        </w:tc>
        <w:tc>
          <w:tcPr>
            <w:tcW w:w="266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Servicing (1)</w:t>
            </w:r>
          </w:p>
        </w:tc>
        <w:tc>
          <w:tcPr>
            <w:tcW w:w="3940" w:type="dxa"/>
            <w:vAlign w:val="bottom"/>
            <w:gridSpan w:val="3"/>
          </w:tcPr>
          <w:p>
            <w:pPr>
              <w:jc w:val="right"/>
              <w:ind w:right="240"/>
              <w:spacing w:after="0"/>
              <w:rPr>
                <w:sz w:val="20"/>
                <w:szCs w:val="20"/>
                <w:color w:val="auto"/>
              </w:rPr>
            </w:pPr>
            <w:r>
              <w:rPr>
                <w:rFonts w:ascii="Arial" w:cs="Arial" w:eastAsia="Arial" w:hAnsi="Arial"/>
                <w:sz w:val="18"/>
                <w:szCs w:val="18"/>
                <w:color w:val="auto"/>
              </w:rPr>
              <w:t>$ 273,970,522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$ 273,970,522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CC"/>
          </w:tcPr>
          <w:p>
            <w:pPr>
              <w:ind w:left="220"/>
              <w:spacing w:after="0"/>
              <w:rPr>
                <w:sz w:val="20"/>
                <w:szCs w:val="20"/>
                <w:color w:val="auto"/>
              </w:rPr>
            </w:pPr>
            <w:r>
              <w:rPr>
                <w:rFonts w:ascii="Arial" w:cs="Arial" w:eastAsia="Arial" w:hAnsi="Arial"/>
                <w:sz w:val="18"/>
                <w:szCs w:val="18"/>
                <w:color w:val="auto"/>
              </w:rPr>
              <w:t>Subservicing</w:t>
            </w:r>
          </w:p>
        </w:tc>
        <w:tc>
          <w:tcPr>
            <w:tcW w:w="394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195,484,010</w:t>
            </w:r>
          </w:p>
        </w:tc>
        <w:tc>
          <w:tcPr>
            <w:tcW w:w="24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392,584</w:t>
            </w:r>
          </w:p>
        </w:tc>
        <w:tc>
          <w:tcPr>
            <w:tcW w:w="10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w w:val="99"/>
              </w:rPr>
              <w:t>195,876,594</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$ 469,454,532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$ 469,847,116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CC"/>
          </w:tcPr>
          <w:p>
            <w:pPr>
              <w:spacing w:after="0"/>
              <w:rPr>
                <w:sz w:val="20"/>
                <w:szCs w:val="20"/>
                <w:color w:val="auto"/>
              </w:rPr>
            </w:pPr>
            <w:r>
              <w:rPr>
                <w:rFonts w:ascii="Arial" w:cs="Arial" w:eastAsia="Arial" w:hAnsi="Arial"/>
                <w:sz w:val="18"/>
                <w:szCs w:val="18"/>
                <w:color w:val="auto"/>
              </w:rPr>
              <w:t>UPB at December 31, 2012</w:t>
            </w:r>
          </w:p>
        </w:tc>
        <w:tc>
          <w:tcPr>
            <w:tcW w:w="266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Servicing (1)</w:t>
            </w:r>
          </w:p>
        </w:tc>
        <w:tc>
          <w:tcPr>
            <w:tcW w:w="3940" w:type="dxa"/>
            <w:vAlign w:val="bottom"/>
            <w:gridSpan w:val="3"/>
          </w:tcPr>
          <w:p>
            <w:pPr>
              <w:jc w:val="right"/>
              <w:ind w:right="240"/>
              <w:spacing w:after="0"/>
              <w:rPr>
                <w:sz w:val="20"/>
                <w:szCs w:val="20"/>
                <w:color w:val="auto"/>
              </w:rPr>
            </w:pPr>
            <w:r>
              <w:rPr>
                <w:rFonts w:ascii="Arial" w:cs="Arial" w:eastAsia="Arial" w:hAnsi="Arial"/>
                <w:sz w:val="18"/>
                <w:szCs w:val="18"/>
                <w:color w:val="auto"/>
              </w:rPr>
              <w:t>$ 175,762,161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$ 175,762,161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CC"/>
          </w:tcPr>
          <w:p>
            <w:pPr>
              <w:ind w:left="220"/>
              <w:spacing w:after="0"/>
              <w:rPr>
                <w:sz w:val="20"/>
                <w:szCs w:val="20"/>
                <w:color w:val="auto"/>
              </w:rPr>
            </w:pPr>
            <w:r>
              <w:rPr>
                <w:rFonts w:ascii="Arial" w:cs="Arial" w:eastAsia="Arial" w:hAnsi="Arial"/>
                <w:sz w:val="18"/>
                <w:szCs w:val="18"/>
                <w:color w:val="auto"/>
              </w:rPr>
              <w:t>Subservicing</w:t>
            </w:r>
          </w:p>
        </w:tc>
        <w:tc>
          <w:tcPr>
            <w:tcW w:w="394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27,903,555</w:t>
            </w:r>
          </w:p>
        </w:tc>
        <w:tc>
          <w:tcPr>
            <w:tcW w:w="24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401,031</w:t>
            </w:r>
          </w:p>
        </w:tc>
        <w:tc>
          <w:tcPr>
            <w:tcW w:w="10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28,304,586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$ 203,665,716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401,031</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204,066,747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UPB of $92.5 billion and $79.4 billion at March 31, 2013 and December 31, 2012, respectively, for which the Rights to MSRs have been sold to HLSS.</w:t>
      </w:r>
    </w:p>
    <w:p>
      <w:pPr>
        <w:spacing w:after="0" w:line="130"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Residential assets serviced consist principally of residential mortgage loans, but also include foreclosed real estate. Residential assets serviced also include small-balance commercial assets with a UPB of $2.0 billion and $2.1 billion at March 31, 2013 and December 31, 2012, respectively, that are managed using the REALServicing™ application. Commercial assets consist of large-balance foreclosed real estate. Assets serviced for others are not included on our unaudited Consolidated Balance Sheet.</w:t>
      </w:r>
    </w:p>
    <w:p>
      <w:pPr>
        <w:spacing w:after="0" w:line="16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are held in escrow by an unaffiliated bank and are excluded from our unaudited Consolidated Balance Sheet. Custodial accounts amounted to $4.7 billion and $1.3 billion at March 31, 2013 and December 31, 2012,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NOTE 10  RECEIVABLES</w:t>
            </w:r>
          </w:p>
        </w:tc>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00" w:type="dxa"/>
            <w:vAlign w:val="bottom"/>
          </w:tcPr>
          <w:p>
            <w:pPr>
              <w:ind w:left="340"/>
              <w:spacing w:after="0"/>
              <w:rPr>
                <w:sz w:val="20"/>
                <w:szCs w:val="20"/>
                <w:color w:val="auto"/>
              </w:rPr>
            </w:pPr>
            <w:r>
              <w:rPr>
                <w:rFonts w:ascii="Arial" w:cs="Arial" w:eastAsia="Arial" w:hAnsi="Arial"/>
                <w:sz w:val="18"/>
                <w:szCs w:val="18"/>
                <w:color w:val="auto"/>
              </w:rPr>
              <w:t>Receivables consisted of the following:</w:t>
            </w: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4"/>
          </w:tcPr>
          <w:p>
            <w:pPr>
              <w:ind w:left="220"/>
              <w:spacing w:after="0"/>
              <w:rPr>
                <w:sz w:val="20"/>
                <w:szCs w:val="20"/>
                <w:color w:val="auto"/>
              </w:rPr>
            </w:pPr>
            <w:r>
              <w:rPr>
                <w:rFonts w:ascii="Arial" w:cs="Arial" w:eastAsia="Arial" w:hAnsi="Arial"/>
                <w:sz w:val="18"/>
                <w:szCs w:val="18"/>
                <w:b w:val="1"/>
                <w:bCs w:val="1"/>
                <w:color w:val="auto"/>
              </w:rPr>
              <w:t>Allowance for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March 31, 2013</w:t>
            </w:r>
          </w:p>
        </w:tc>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Receivables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Servicing (1)</w:t>
            </w:r>
          </w:p>
        </w:tc>
        <w:tc>
          <w:tcPr>
            <w:tcW w:w="2580" w:type="dxa"/>
            <w:vAlign w:val="bottom"/>
            <w:tcBorders>
              <w:top w:val="single" w:sz="8" w:color="auto"/>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74,820</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(2,024)</w:t>
            </w:r>
          </w:p>
        </w:tc>
        <w:tc>
          <w:tcPr>
            <w:tcW w:w="4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72,796</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52,593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52,593</w:t>
            </w:r>
          </w:p>
        </w:tc>
        <w:tc>
          <w:tcPr>
            <w:tcW w:w="0" w:type="dxa"/>
            <w:vAlign w:val="bottom"/>
          </w:tcPr>
          <w:p>
            <w:pPr>
              <w:spacing w:after="0"/>
              <w:rPr>
                <w:sz w:val="1"/>
                <w:szCs w:val="1"/>
                <w:color w:val="auto"/>
              </w:rPr>
            </w:pPr>
          </w:p>
        </w:tc>
      </w:tr>
      <w:tr>
        <w:trPr>
          <w:trHeight w:val="216"/>
        </w:trPr>
        <w:tc>
          <w:tcPr>
            <w:tcW w:w="440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 (2)</w:t>
            </w:r>
          </w:p>
        </w:tc>
        <w:tc>
          <w:tcPr>
            <w:tcW w:w="25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28,048</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CC"/>
              <w:bottom w:val="single" w:sz="8" w:color="CCEECC"/>
            </w:tcBorders>
            <w:shd w:val="clear" w:color="auto" w:fill="CCEECC"/>
          </w:tcPr>
          <w:p>
            <w:pPr>
              <w:spacing w:after="0"/>
              <w:rPr>
                <w:sz w:val="19"/>
                <w:szCs w:val="19"/>
                <w:color w:val="auto"/>
              </w:rPr>
            </w:pPr>
          </w:p>
        </w:tc>
        <w:tc>
          <w:tcPr>
            <w:tcW w:w="2580" w:type="dxa"/>
            <w:vAlign w:val="bottom"/>
            <w:tcBorders>
              <w:top w:val="single" w:sz="8" w:color="CCEECC"/>
              <w:bottom w:val="single" w:sz="8" w:color="CCEECC"/>
            </w:tcBorders>
            <w:shd w:val="clear" w:color="auto" w:fill="CCEECC"/>
          </w:tcPr>
          <w:p>
            <w:pPr>
              <w:spacing w:after="0"/>
              <w:rPr>
                <w:sz w:val="19"/>
                <w:szCs w:val="19"/>
                <w:color w:val="auto"/>
              </w:rPr>
            </w:pP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159,578</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(4,020</w:t>
            </w:r>
          </w:p>
        </w:tc>
        <w:tc>
          <w:tcPr>
            <w:tcW w:w="440" w:type="dxa"/>
            <w:vAlign w:val="bottom"/>
            <w:tcBorders>
              <w:top w:val="single" w:sz="8" w:color="CCEECC"/>
              <w:bottom w:val="single" w:sz="8" w:color="CCEECC"/>
            </w:tcBorders>
            <w:shd w:val="clear" w:color="auto" w:fill="CCEECC"/>
          </w:tcPr>
          <w:p>
            <w:pPr>
              <w:jc w:val="right"/>
              <w:ind w:right="3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155,558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580" w:type="dxa"/>
            <w:vAlign w:val="bottom"/>
            <w:vMerge w:val="restart"/>
          </w:tcPr>
          <w:p>
            <w:pPr>
              <w:jc w:val="right"/>
              <w:ind w:right="109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ind w:left="220"/>
              <w:spacing w:after="0"/>
              <w:rPr>
                <w:sz w:val="20"/>
                <w:szCs w:val="20"/>
                <w:color w:val="auto"/>
              </w:rPr>
            </w:pPr>
            <w:r>
              <w:rPr>
                <w:rFonts w:ascii="Arial" w:cs="Arial" w:eastAsia="Arial" w:hAnsi="Arial"/>
                <w:sz w:val="18"/>
                <w:szCs w:val="18"/>
                <w:b w:val="1"/>
                <w:bCs w:val="1"/>
                <w:color w:val="auto"/>
              </w:rPr>
              <w:t>Allowance for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December 31, 2012</w:t>
            </w:r>
          </w:p>
        </w:tc>
        <w:tc>
          <w:tcPr>
            <w:tcW w:w="34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Receivables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r>
      <w:tr>
        <w:trPr>
          <w:trHeight w:val="210"/>
        </w:trPr>
        <w:tc>
          <w:tcPr>
            <w:tcW w:w="69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Servicing (1)</w:t>
            </w:r>
          </w:p>
        </w:tc>
        <w:tc>
          <w:tcPr>
            <w:tcW w:w="3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84,870</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(1,647)</w:t>
            </w:r>
          </w:p>
        </w:tc>
        <w:tc>
          <w:tcPr>
            <w:tcW w:w="4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83,223</w:t>
            </w:r>
          </w:p>
        </w:tc>
        <w:tc>
          <w:tcPr>
            <w:tcW w:w="100" w:type="dxa"/>
            <w:vAlign w:val="bottom"/>
            <w:tcBorders>
              <w:top w:val="single" w:sz="8" w:color="CCEECC"/>
            </w:tcBorders>
            <w:shd w:val="clear" w:color="auto" w:fill="CCEEC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55,292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55,292</w:t>
            </w:r>
          </w:p>
        </w:tc>
      </w:tr>
      <w:tr>
        <w:trPr>
          <w:trHeight w:val="216"/>
        </w:trPr>
        <w:tc>
          <w:tcPr>
            <w:tcW w:w="698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 (2)</w:t>
            </w:r>
          </w:p>
        </w:tc>
        <w:tc>
          <w:tcPr>
            <w:tcW w:w="3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12,361</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12,361</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18,577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16,583</w:t>
            </w:r>
          </w:p>
        </w:tc>
      </w:tr>
      <w:tr>
        <w:trPr>
          <w:trHeight w:val="223"/>
        </w:trPr>
        <w:tc>
          <w:tcPr>
            <w:tcW w:w="6980" w:type="dxa"/>
            <w:vAlign w:val="bottom"/>
            <w:tcBorders>
              <w:top w:val="single" w:sz="8" w:color="CCEECC"/>
              <w:bottom w:val="single" w:sz="8" w:color="CCEECC"/>
            </w:tcBorders>
            <w:shd w:val="clear" w:color="auto" w:fill="CCEECC"/>
          </w:tcPr>
          <w:p>
            <w:pPr>
              <w:spacing w:after="0"/>
              <w:rPr>
                <w:sz w:val="19"/>
                <w:szCs w:val="19"/>
                <w:color w:val="auto"/>
              </w:rPr>
            </w:pP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171,100</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(3,641</w:t>
            </w:r>
          </w:p>
        </w:tc>
        <w:tc>
          <w:tcPr>
            <w:tcW w:w="440" w:type="dxa"/>
            <w:vAlign w:val="bottom"/>
            <w:tcBorders>
              <w:top w:val="single" w:sz="8" w:color="CCEECC"/>
              <w:bottom w:val="single" w:sz="8" w:color="CCEECC"/>
            </w:tcBorders>
            <w:shd w:val="clear" w:color="auto" w:fill="CCEECC"/>
          </w:tcPr>
          <w:p>
            <w:pPr>
              <w:jc w:val="right"/>
              <w:ind w:right="3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167,459</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balances arise from our Servicing business and primarily include reimbursable expenditures due from investors and amounts to be recovered from the custodial accounts of the trustees.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22 – Related Party Transactions for additional information regarding transactions with Altisource and HLSS.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Receivable balances are evaluated individually for collectibility. The change in the allowance for credit losses for the three months ended March 31, 2013 and 2012 and the balance of the related receivables at those dates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880" w:type="dxa"/>
            <w:vAlign w:val="bottom"/>
            <w:tcBorders>
              <w:bottom w:val="single" w:sz="8" w:color="CCEECC"/>
            </w:tcBorders>
          </w:tcPr>
          <w:p>
            <w:pPr>
              <w:spacing w:after="0"/>
              <w:rPr>
                <w:sz w:val="20"/>
                <w:szCs w:val="20"/>
                <w:color w:val="auto"/>
              </w:rPr>
            </w:pPr>
          </w:p>
        </w:tc>
        <w:tc>
          <w:tcPr>
            <w:tcW w:w="460" w:type="dxa"/>
            <w:vAlign w:val="bottom"/>
            <w:tcBorders>
              <w:bottom w:val="single" w:sz="8" w:color="CCEECC"/>
            </w:tcBorders>
          </w:tcPr>
          <w:p>
            <w:pPr>
              <w:spacing w:after="0"/>
              <w:rPr>
                <w:sz w:val="20"/>
                <w:szCs w:val="20"/>
                <w:color w:val="auto"/>
              </w:rPr>
            </w:pPr>
          </w:p>
        </w:tc>
        <w:tc>
          <w:tcPr>
            <w:tcW w:w="280" w:type="dxa"/>
            <w:vAlign w:val="bottom"/>
            <w:tcBorders>
              <w:bottom w:val="single" w:sz="8" w:color="CCEECC"/>
            </w:tcBorders>
          </w:tcPr>
          <w:p>
            <w:pPr>
              <w:spacing w:after="0"/>
              <w:rPr>
                <w:sz w:val="20"/>
                <w:szCs w:val="20"/>
                <w:color w:val="auto"/>
              </w:rPr>
            </w:pPr>
          </w:p>
        </w:tc>
        <w:tc>
          <w:tcPr>
            <w:tcW w:w="760" w:type="dxa"/>
            <w:vAlign w:val="bottom"/>
            <w:tcBorders>
              <w:bottom w:val="single" w:sz="8" w:color="CCEECC"/>
            </w:tcBorders>
          </w:tcPr>
          <w:p>
            <w:pPr>
              <w:spacing w:after="0"/>
              <w:rPr>
                <w:sz w:val="20"/>
                <w:szCs w:val="20"/>
                <w:color w:val="auto"/>
              </w:rPr>
            </w:pPr>
          </w:p>
        </w:tc>
        <w:tc>
          <w:tcPr>
            <w:tcW w:w="2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180" w:type="dxa"/>
            <w:vAlign w:val="bottom"/>
            <w:tcBorders>
              <w:bottom w:val="single" w:sz="8" w:color="CCEECC"/>
            </w:tcBorders>
          </w:tcPr>
          <w:p>
            <w:pPr>
              <w:spacing w:after="0"/>
              <w:rPr>
                <w:sz w:val="20"/>
                <w:szCs w:val="20"/>
                <w:color w:val="auto"/>
              </w:rPr>
            </w:pPr>
          </w:p>
        </w:tc>
        <w:tc>
          <w:tcPr>
            <w:tcW w:w="84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CC"/>
          </w:tcPr>
          <w:p>
            <w:pPr>
              <w:spacing w:after="0"/>
              <w:rPr>
                <w:sz w:val="20"/>
                <w:szCs w:val="20"/>
                <w:color w:val="auto"/>
              </w:rPr>
            </w:pPr>
            <w:r>
              <w:rPr>
                <w:rFonts w:ascii="Arial" w:cs="Arial" w:eastAsia="Arial" w:hAnsi="Arial"/>
                <w:sz w:val="18"/>
                <w:szCs w:val="18"/>
                <w:color w:val="auto"/>
                <w:w w:val="91"/>
              </w:rPr>
              <w:t>Allowance for credit losses balance at beginning of the period</w:t>
            </w:r>
          </w:p>
        </w:tc>
        <w:tc>
          <w:tcPr>
            <w:tcW w:w="88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gridSpan w:val="2"/>
            <w:shd w:val="clear" w:color="auto" w:fill="CCEECC"/>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1,994</w:t>
            </w: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6,281</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w w:val="98"/>
              </w:rPr>
              <w:t>Allowance for credit losses balance at end of the period</w:t>
            </w: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880" w:type="dxa"/>
            <w:vAlign w:val="bottom"/>
            <w:tcBorders>
              <w:top w:val="single" w:sz="8" w:color="CCEECC"/>
              <w:bottom w:val="single" w:sz="8" w:color="CCEECC"/>
            </w:tcBorders>
            <w:shd w:val="clear" w:color="auto" w:fill="CCEECC"/>
          </w:tcPr>
          <w:p>
            <w:pPr>
              <w:spacing w:after="0"/>
              <w:rPr>
                <w:sz w:val="19"/>
                <w:szCs w:val="19"/>
                <w:color w:val="auto"/>
              </w:rPr>
            </w:pPr>
          </w:p>
        </w:tc>
        <w:tc>
          <w:tcPr>
            <w:tcW w:w="46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CCEECC"/>
              <w:bottom w:val="single" w:sz="8" w:color="CCEECC"/>
            </w:tcBorders>
            <w:shd w:val="clear" w:color="auto" w:fill="CCEECC"/>
          </w:tcPr>
          <w:p>
            <w:pPr>
              <w:spacing w:after="0"/>
              <w:rPr>
                <w:sz w:val="19"/>
                <w:szCs w:val="19"/>
                <w:color w:val="auto"/>
              </w:rPr>
            </w:pPr>
          </w:p>
        </w:tc>
        <w:tc>
          <w:tcPr>
            <w:tcW w:w="76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8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C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1,996</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6,717</w:t>
            </w: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Receivables balance</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4,117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11  GOODWILL</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00" w:type="dxa"/>
            <w:vAlign w:val="bottom"/>
            <w:gridSpan w:val="16"/>
          </w:tcPr>
          <w:p>
            <w:pPr>
              <w:ind w:left="340"/>
              <w:spacing w:after="0"/>
              <w:rPr>
                <w:sz w:val="20"/>
                <w:szCs w:val="20"/>
                <w:color w:val="auto"/>
              </w:rPr>
            </w:pPr>
            <w:r>
              <w:rPr>
                <w:rFonts w:ascii="Arial" w:cs="Arial" w:eastAsia="Arial" w:hAnsi="Arial"/>
                <w:sz w:val="18"/>
                <w:szCs w:val="18"/>
                <w:color w:val="auto"/>
                <w:w w:val="95"/>
              </w:rPr>
              <w:t>The following table provides a summary of activity in the carrying value of goodwill during the three months ended March 31, 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ResCap</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Homeward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Litton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HomEq</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Acquisition</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5"/>
              </w:rPr>
              <w:t>Acquisition</w:t>
            </w:r>
          </w:p>
        </w:tc>
        <w:tc>
          <w:tcPr>
            <w:tcW w:w="20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Acquisition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Acquisition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300,843</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57,430</w:t>
            </w:r>
          </w:p>
        </w:tc>
        <w:tc>
          <w:tcPr>
            <w:tcW w:w="20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gridSpan w:val="2"/>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371,083</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80"/>
              <w:spacing w:after="0" w:line="201" w:lineRule="exact"/>
              <w:rPr>
                <w:sz w:val="20"/>
                <w:szCs w:val="20"/>
                <w:color w:val="auto"/>
              </w:rPr>
            </w:pPr>
            <w:r>
              <w:rPr>
                <w:rFonts w:ascii="Arial" w:cs="Arial" w:eastAsia="Arial" w:hAnsi="Arial"/>
                <w:sz w:val="18"/>
                <w:szCs w:val="18"/>
                <w:color w:val="auto"/>
              </w:rPr>
              <w:t>Derecognition of goodwill in connection with the sale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of a business (1)</w:t>
            </w:r>
          </w:p>
        </w:tc>
        <w:tc>
          <w:tcPr>
            <w:tcW w:w="16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(72,309)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(72,309)</w:t>
            </w:r>
          </w:p>
        </w:tc>
        <w:tc>
          <w:tcPr>
            <w:tcW w:w="0" w:type="dxa"/>
            <w:vAlign w:val="bottom"/>
          </w:tcPr>
          <w:p>
            <w:pPr>
              <w:spacing w:after="0"/>
              <w:rPr>
                <w:sz w:val="1"/>
                <w:szCs w:val="1"/>
                <w:color w:val="auto"/>
              </w:rPr>
            </w:pPr>
          </w:p>
        </w:tc>
      </w:tr>
      <w:tr>
        <w:trPr>
          <w:trHeight w:val="230"/>
        </w:trPr>
        <w:tc>
          <w:tcPr>
            <w:tcW w:w="436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ResCap Acquisition (2)</w:t>
            </w:r>
          </w:p>
        </w:tc>
        <w:tc>
          <w:tcPr>
            <w:tcW w:w="16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204,743</w:t>
            </w:r>
          </w:p>
        </w:tc>
        <w:tc>
          <w:tcPr>
            <w:tcW w:w="46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204,743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204,743</w:t>
            </w: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Step acquisition - Correspondent One (3)</w:t>
            </w:r>
          </w:p>
        </w:tc>
        <w:tc>
          <w:tcPr>
            <w:tcW w:w="16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Balance at March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204,743</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57,430</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0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29, 2013, we sold the diversified fee-based business acquired in the Homeward Acquisition to Altisource and derecognized the assigned goodwill. See Note 3 – Business Acquisitions for additional information.</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this transaction.</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13 – Other Assets for additional information regarding this transaction.</w:t>
      </w:r>
    </w:p>
    <w:p>
      <w:pPr>
        <w:spacing w:after="0" w:line="19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the ResCap Acquisition, $76.0 million of the recognized goodwill is assigned to the Servicing segment and $128.8 million is assigned to the diversified fee-based business which is included in Corporate Items and Other. On April 12, 2013, we sold the diversified fee-based business to Altisource and derecognized the assigned goodwill. See Note 25 – Subsequent Events for additional information.</w:t>
      </w:r>
    </w:p>
    <w:p>
      <w:pPr>
        <w:spacing w:after="0" w:line="14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For Homeward, $108.1 million of the remaining goodwill is assigned to the Servicing segment and $120.4 million is assigned to the Lending segment. Subsequent to the initial assignment and prior to the sale to Altisource, $4.7 million of the purchase price allocated to the diversified fee-based business was reallocated to Servicing and Lending. For Litton and HomEq, the entire balance of goodwill pertains to the Servicing segment.</w:t>
      </w:r>
    </w:p>
    <w:p>
      <w:pPr>
        <w:spacing w:after="0" w:line="1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DEBT SERVICE ACCOUNTS</w:t>
      </w:r>
    </w:p>
    <w:p>
      <w:pPr>
        <w:spacing w:after="0" w:line="20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These funds are held in interest earning accounts in the name of the SPE created in connection with the match funded financing facility. The balance of such debt service accounts at March 31, 2013 and December 31, 2012 was $134.2 million and $88.7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NOTE 13  OTHER ASSETS</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30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6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300" w:type="dxa"/>
            <w:vAlign w:val="bottom"/>
            <w:tcBorders>
              <w:bottom w:val="single" w:sz="8" w:color="CCEECC"/>
            </w:tcBorders>
          </w:tcPr>
          <w:p>
            <w:pPr>
              <w:spacing w:after="0"/>
              <w:rPr>
                <w:sz w:val="20"/>
                <w:szCs w:val="20"/>
                <w:color w:val="auto"/>
              </w:rPr>
            </w:pPr>
          </w:p>
        </w:tc>
        <w:tc>
          <w:tcPr>
            <w:tcW w:w="25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630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 at lower of cost or fair value (1)</w:t>
            </w:r>
          </w:p>
        </w:tc>
        <w:tc>
          <w:tcPr>
            <w:tcW w:w="252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62,615</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82,866</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Prepaid lender fees and debt issuance costs, net (2)</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37,123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14,389</w:t>
            </w:r>
          </w:p>
        </w:tc>
        <w:tc>
          <w:tcPr>
            <w:tcW w:w="80" w:type="dxa"/>
            <w:vAlign w:val="bottom"/>
          </w:tcPr>
          <w:p>
            <w:pPr>
              <w:spacing w:after="0"/>
              <w:rPr>
                <w:sz w:val="18"/>
                <w:szCs w:val="18"/>
                <w:color w:val="auto"/>
              </w:rPr>
            </w:pPr>
          </w:p>
        </w:tc>
      </w:tr>
      <w:tr>
        <w:trPr>
          <w:trHeight w:val="216"/>
        </w:trPr>
        <w:tc>
          <w:tcPr>
            <w:tcW w:w="6300" w:type="dxa"/>
            <w:vAlign w:val="bottom"/>
            <w:shd w:val="clear" w:color="auto" w:fill="CCEECC"/>
          </w:tcPr>
          <w:p>
            <w:pPr>
              <w:spacing w:after="0"/>
              <w:rPr>
                <w:sz w:val="20"/>
                <w:szCs w:val="20"/>
                <w:color w:val="auto"/>
              </w:rPr>
            </w:pPr>
            <w:r>
              <w:rPr>
                <w:rFonts w:ascii="Arial" w:cs="Arial" w:eastAsia="Arial" w:hAnsi="Arial"/>
                <w:sz w:val="18"/>
                <w:szCs w:val="18"/>
                <w:color w:val="auto"/>
              </w:rPr>
              <w:t>Acquisition deposits (3)</w:t>
            </w:r>
          </w:p>
        </w:tc>
        <w:tc>
          <w:tcPr>
            <w:tcW w:w="25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31,149</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57,000</w:t>
            </w:r>
          </w:p>
        </w:tc>
        <w:tc>
          <w:tcPr>
            <w:tcW w:w="80" w:type="dxa"/>
            <w:vAlign w:val="bottom"/>
            <w:shd w:val="clear" w:color="auto" w:fill="CCEEC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earning collateral deposits (4)</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30,648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31,710</w:t>
            </w:r>
          </w:p>
        </w:tc>
        <w:tc>
          <w:tcPr>
            <w:tcW w:w="80" w:type="dxa"/>
            <w:vAlign w:val="bottom"/>
          </w:tcPr>
          <w:p>
            <w:pPr>
              <w:spacing w:after="0"/>
              <w:rPr>
                <w:sz w:val="18"/>
                <w:szCs w:val="18"/>
                <w:color w:val="auto"/>
              </w:rPr>
            </w:pPr>
          </w:p>
        </w:tc>
      </w:tr>
      <w:tr>
        <w:trPr>
          <w:trHeight w:val="216"/>
        </w:trPr>
        <w:tc>
          <w:tcPr>
            <w:tcW w:w="6300" w:type="dxa"/>
            <w:vAlign w:val="bottom"/>
            <w:shd w:val="clear" w:color="auto" w:fill="CCEECC"/>
          </w:tcPr>
          <w:p>
            <w:pPr>
              <w:spacing w:after="0"/>
              <w:rPr>
                <w:sz w:val="20"/>
                <w:szCs w:val="20"/>
                <w:color w:val="auto"/>
              </w:rPr>
            </w:pPr>
            <w:r>
              <w:rPr>
                <w:rFonts w:ascii="Arial" w:cs="Arial" w:eastAsia="Arial" w:hAnsi="Arial"/>
                <w:sz w:val="18"/>
                <w:szCs w:val="18"/>
                <w:color w:val="auto"/>
              </w:rPr>
              <w:t>Prepaid income taxes</w:t>
            </w:r>
          </w:p>
        </w:tc>
        <w:tc>
          <w:tcPr>
            <w:tcW w:w="25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23,112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23,112</w:t>
            </w:r>
          </w:p>
        </w:tc>
        <w:tc>
          <w:tcPr>
            <w:tcW w:w="80" w:type="dxa"/>
            <w:vAlign w:val="bottom"/>
            <w:shd w:val="clear" w:color="auto" w:fill="CCEEC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Investment in unconsolidated entities (5)</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12,353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25,187</w:t>
            </w:r>
          </w:p>
        </w:tc>
        <w:tc>
          <w:tcPr>
            <w:tcW w:w="80" w:type="dxa"/>
            <w:vAlign w:val="bottom"/>
          </w:tcPr>
          <w:p>
            <w:pPr>
              <w:spacing w:after="0"/>
              <w:rPr>
                <w:sz w:val="18"/>
                <w:szCs w:val="18"/>
                <w:color w:val="auto"/>
              </w:rPr>
            </w:pPr>
          </w:p>
        </w:tc>
      </w:tr>
      <w:tr>
        <w:trPr>
          <w:trHeight w:val="216"/>
        </w:trPr>
        <w:tc>
          <w:tcPr>
            <w:tcW w:w="6300" w:type="dxa"/>
            <w:vAlign w:val="bottom"/>
            <w:shd w:val="clear" w:color="auto" w:fill="CCEECC"/>
          </w:tcPr>
          <w:p>
            <w:pPr>
              <w:spacing w:after="0"/>
              <w:rPr>
                <w:sz w:val="20"/>
                <w:szCs w:val="20"/>
                <w:color w:val="auto"/>
              </w:rPr>
            </w:pPr>
            <w:r>
              <w:rPr>
                <w:rFonts w:ascii="Arial" w:cs="Arial" w:eastAsia="Arial" w:hAnsi="Arial"/>
                <w:sz w:val="18"/>
                <w:szCs w:val="18"/>
                <w:color w:val="auto"/>
              </w:rPr>
              <w:t>Real estate, net</w:t>
            </w:r>
          </w:p>
        </w:tc>
        <w:tc>
          <w:tcPr>
            <w:tcW w:w="25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8,533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6,205</w:t>
            </w:r>
          </w:p>
        </w:tc>
        <w:tc>
          <w:tcPr>
            <w:tcW w:w="80" w:type="dxa"/>
            <w:vAlign w:val="bottom"/>
            <w:shd w:val="clear" w:color="auto" w:fill="CCEEC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Derivatives, at fair value (6)</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6,646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10,795</w:t>
            </w:r>
          </w:p>
        </w:tc>
        <w:tc>
          <w:tcPr>
            <w:tcW w:w="80" w:type="dxa"/>
            <w:vAlign w:val="bottom"/>
          </w:tcPr>
          <w:p>
            <w:pPr>
              <w:spacing w:after="0"/>
              <w:rPr>
                <w:sz w:val="18"/>
                <w:szCs w:val="18"/>
                <w:color w:val="auto"/>
              </w:rPr>
            </w:pPr>
          </w:p>
        </w:tc>
      </w:tr>
      <w:tr>
        <w:trPr>
          <w:trHeight w:val="230"/>
        </w:trPr>
        <w:tc>
          <w:tcPr>
            <w:tcW w:w="6300" w:type="dxa"/>
            <w:vAlign w:val="bottom"/>
            <w:shd w:val="clear" w:color="auto" w:fill="CCEECC"/>
          </w:tcPr>
          <w:p>
            <w:pPr>
              <w:spacing w:after="0"/>
              <w:rPr>
                <w:sz w:val="20"/>
                <w:szCs w:val="20"/>
                <w:color w:val="auto"/>
              </w:rPr>
            </w:pPr>
            <w:r>
              <w:rPr>
                <w:rFonts w:ascii="Arial" w:cs="Arial" w:eastAsia="Arial" w:hAnsi="Arial"/>
                <w:sz w:val="18"/>
                <w:szCs w:val="18"/>
                <w:color w:val="auto"/>
              </w:rPr>
              <w:t>Prepaid expenses and other</w:t>
            </w:r>
          </w:p>
        </w:tc>
        <w:tc>
          <w:tcPr>
            <w:tcW w:w="25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26,628</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21,414</w:t>
            </w:r>
          </w:p>
        </w:tc>
        <w:tc>
          <w:tcPr>
            <w:tcW w:w="80" w:type="dxa"/>
            <w:vAlign w:val="bottom"/>
            <w:shd w:val="clear" w:color="auto" w:fill="CCEECC"/>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238,807</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0" w:hanging="332"/>
        <w:spacing w:after="0" w:line="29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carrying values at March 31, 2013 and December 31, 2012 are net of valuation allowances of $21.9 million and $14.7 million, respectively. The balances include non-performing subprime single-family residential loans that we do not intend to hold to maturity. The balance at December 31, 2012 includes non-performing mortgage loans with a carrying value of $65.4 million that we acquired in December 2012 and sold to Altisource Residential, LP in February 2013 for an insignificant gain. The balance at March 31, 2013 includes $42.0 million of loans that we were required to repurchase from Ginnie Mae guaranteed securitizations following the ResCap Acquisition in connection with loan modifications and loan resolutions.</w:t>
      </w:r>
    </w:p>
    <w:p>
      <w:pPr>
        <w:spacing w:after="0" w:line="117"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w:t>
      </w:r>
    </w:p>
    <w:p>
      <w:pPr>
        <w:spacing w:after="0" w:line="198"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balance at March 31, 2013 represents funds we transferred prior to the closing of our acquisition of Genworth Financial Home Equity Access, Inc. on April 1, 2013. See Note 25 – Subsequent Events for additional information regarding this acquisition. The balance at December 31, 2012 represents an earnest money cash deposit we made in connection with the ResCap Acquisition. This deposit was subsequently applied towards the purchase price upon closing of the transaction on February 15, 2013. See Note 3 – Business Acquisitions for additional information.</w:t>
      </w:r>
    </w:p>
    <w:p>
      <w:pPr>
        <w:spacing w:after="0" w:line="130"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balances include $25.7 million and $25.8 million of cash collateral held by the counterparties to certain of our derivative agreements at March 31, 2013 and December 31, 2012, respectively.</w:t>
      </w:r>
    </w:p>
    <w:p>
      <w:pPr>
        <w:spacing w:after="0" w:line="129" w:lineRule="exact"/>
        <w:rPr>
          <w:rFonts w:ascii="Arial" w:cs="Arial" w:eastAsia="Arial" w:hAnsi="Arial"/>
          <w:sz w:val="18"/>
          <w:szCs w:val="18"/>
          <w:color w:val="auto"/>
        </w:rPr>
      </w:pPr>
    </w:p>
    <w:p>
      <w:pPr>
        <w:ind w:left="340" w:right="2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balance at December 31, 2012 includes an investment of $13.4 million that represents our 49% equity interest in Correspondent One S.A. (Correspondent One), an entity formed with Altisource in March 2011. As disclosed in Note 3 – Business Acquisitions, we increased our ownership to 100% on March 31, 2013. Effective on that date, we began including the accounts of Correspondent One in our consolidated financial statements and have eliminated our current investment in consolidation.</w:t>
      </w:r>
    </w:p>
    <w:p>
      <w:pPr>
        <w:spacing w:after="0" w:line="15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18 – Derivative Financial Instruments for additional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820" w:type="dxa"/>
            <w:vAlign w:val="bottom"/>
            <w:gridSpan w:val="4"/>
          </w:tcPr>
          <w:p>
            <w:pPr>
              <w:ind w:left="20"/>
              <w:spacing w:after="0"/>
              <w:rPr>
                <w:sz w:val="20"/>
                <w:szCs w:val="20"/>
                <w:color w:val="auto"/>
              </w:rPr>
            </w:pPr>
            <w:r>
              <w:rPr>
                <w:rFonts w:ascii="Arial" w:cs="Arial" w:eastAsia="Arial" w:hAnsi="Arial"/>
                <w:sz w:val="18"/>
                <w:szCs w:val="18"/>
                <w:b w:val="1"/>
                <w:bCs w:val="1"/>
                <w:color w:val="auto"/>
              </w:rPr>
              <w:t>NOTE 14  MATCH FUNDED LIABILITIES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0" w:type="dxa"/>
            <w:vAlign w:val="bottom"/>
            <w:gridSpan w:val="6"/>
          </w:tcPr>
          <w:p>
            <w:pPr>
              <w:ind w:left="340"/>
              <w:spacing w:after="0"/>
              <w:rPr>
                <w:sz w:val="20"/>
                <w:szCs w:val="20"/>
                <w:color w:val="auto"/>
              </w:rPr>
            </w:pPr>
            <w:r>
              <w:rPr>
                <w:rFonts w:ascii="Arial" w:cs="Arial" w:eastAsia="Arial" w:hAnsi="Arial"/>
                <w:sz w:val="18"/>
                <w:szCs w:val="18"/>
                <w:color w:val="auto"/>
                <w:w w:val="96"/>
              </w:rPr>
              <w:t>Match funded liabilities are comprised of the following at the dates indicated: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Available</w:t>
            </w:r>
          </w:p>
        </w:tc>
        <w:tc>
          <w:tcPr>
            <w:tcW w:w="100" w:type="dxa"/>
            <w:vAlign w:val="bottom"/>
          </w:tcPr>
          <w:p>
            <w:pPr>
              <w:spacing w:after="0"/>
              <w:rPr>
                <w:sz w:val="24"/>
                <w:szCs w:val="24"/>
                <w:color w:val="auto"/>
              </w:rPr>
            </w:pPr>
          </w:p>
        </w:tc>
        <w:tc>
          <w:tcPr>
            <w:tcW w:w="2380" w:type="dxa"/>
            <w:vAlign w:val="bottom"/>
            <w:gridSpan w:val="6"/>
          </w:tcPr>
          <w:p>
            <w:pPr>
              <w:ind w:left="28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1"/>
        </w:trPr>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6"/>
                <w:szCs w:val="16"/>
                <w:color w:val="auto"/>
              </w:rPr>
            </w:pPr>
          </w:p>
        </w:tc>
        <w:tc>
          <w:tcPr>
            <w:tcW w:w="136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1"/>
              </w:rPr>
              <w:t>Borrowing</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March 31,</w:t>
            </w:r>
          </w:p>
        </w:tc>
        <w:tc>
          <w:tcPr>
            <w:tcW w:w="120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940"/>
              <w:spacing w:after="0"/>
              <w:rPr>
                <w:sz w:val="20"/>
                <w:szCs w:val="20"/>
                <w:color w:val="auto"/>
              </w:rPr>
            </w:pPr>
            <w:r>
              <w:rPr>
                <w:rFonts w:ascii="Arial" w:cs="Arial" w:eastAsia="Arial" w:hAnsi="Arial"/>
                <w:sz w:val="18"/>
                <w:szCs w:val="18"/>
                <w:b w:val="1"/>
                <w:bCs w:val="1"/>
                <w:color w:val="auto"/>
              </w:rPr>
              <w:t>Borrowing Type</w:t>
            </w:r>
          </w:p>
        </w:tc>
        <w:tc>
          <w:tcPr>
            <w:tcW w:w="3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Maturity (1)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Date (1)</w:t>
            </w:r>
          </w:p>
        </w:tc>
        <w:tc>
          <w:tcPr>
            <w:tcW w:w="220" w:type="dxa"/>
            <w:vAlign w:val="bottom"/>
          </w:tcPr>
          <w:p>
            <w:pPr>
              <w:spacing w:after="0"/>
              <w:rPr>
                <w:sz w:val="20"/>
                <w:szCs w:val="20"/>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Capacity (2)</w:t>
            </w: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00" w:type="dxa"/>
            <w:vAlign w:val="bottom"/>
            <w:tcBorders>
              <w:top w:val="single" w:sz="8" w:color="auto"/>
            </w:tcBorders>
            <w:shd w:val="clear" w:color="auto" w:fill="CCEECC"/>
          </w:tcPr>
          <w:p>
            <w:pPr>
              <w:spacing w:after="0" w:line="195" w:lineRule="exact"/>
              <w:rPr>
                <w:sz w:val="20"/>
                <w:szCs w:val="20"/>
                <w:color w:val="auto"/>
              </w:rPr>
            </w:pPr>
            <w:r>
              <w:rPr>
                <w:rFonts w:ascii="Arial" w:cs="Arial" w:eastAsia="Arial" w:hAnsi="Arial"/>
                <w:sz w:val="18"/>
                <w:szCs w:val="18"/>
                <w:color w:val="auto"/>
                <w:w w:val="92"/>
              </w:rPr>
              <w:t>2011-Servicer Advance Revolving Trust 1</w:t>
            </w:r>
          </w:p>
        </w:tc>
        <w:tc>
          <w:tcPr>
            <w:tcW w:w="360" w:type="dxa"/>
            <w:vAlign w:val="bottom"/>
            <w:tcBorders>
              <w:top w:val="single" w:sz="8" w:color="CCEECC"/>
            </w:tcBorders>
            <w:shd w:val="clear" w:color="auto" w:fill="CCEECC"/>
          </w:tcPr>
          <w:p>
            <w:pPr>
              <w:spacing w:after="0"/>
              <w:rPr>
                <w:sz w:val="16"/>
                <w:szCs w:val="16"/>
                <w:color w:val="auto"/>
              </w:rPr>
            </w:pPr>
          </w:p>
        </w:tc>
        <w:tc>
          <w:tcPr>
            <w:tcW w:w="114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16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16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32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80" w:type="dxa"/>
            <w:vAlign w:val="bottom"/>
            <w:tcBorders>
              <w:top w:val="single" w:sz="8" w:color="CCEECC"/>
            </w:tcBorders>
            <w:shd w:val="clear" w:color="auto" w:fill="CCEECC"/>
          </w:tcPr>
          <w:p>
            <w:pPr>
              <w:spacing w:after="0"/>
              <w:rPr>
                <w:sz w:val="16"/>
                <w:szCs w:val="16"/>
                <w:color w:val="auto"/>
              </w:rPr>
            </w:pPr>
          </w:p>
        </w:tc>
        <w:tc>
          <w:tcPr>
            <w:tcW w:w="16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auto"/>
            </w:tcBorders>
            <w:shd w:val="clear" w:color="auto" w:fill="CCEECC"/>
          </w:tcPr>
          <w:p>
            <w:pPr>
              <w:spacing w:after="0"/>
              <w:rPr>
                <w:sz w:val="16"/>
                <w:szCs w:val="16"/>
                <w:color w:val="auto"/>
              </w:rPr>
            </w:pPr>
          </w:p>
        </w:tc>
        <w:tc>
          <w:tcPr>
            <w:tcW w:w="84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CC"/>
          </w:tcPr>
          <w:p>
            <w:pPr>
              <w:spacing w:after="0"/>
              <w:rPr>
                <w:sz w:val="20"/>
                <w:szCs w:val="20"/>
                <w:color w:val="auto"/>
              </w:rPr>
            </w:pPr>
          </w:p>
        </w:tc>
        <w:tc>
          <w:tcPr>
            <w:tcW w:w="138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3"/>
              </w:rPr>
              <w:t>May 2043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May 2013</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2"/>
              </w:rPr>
              <w:t>2011-Servicer Advance Revolving Trust 1</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(3)</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3.37 – 5.92%</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May 2043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May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2012-Servicing Advance Revolving Trust</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2 (3)</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3.27 – 6.90%</w:t>
            </w:r>
          </w:p>
        </w:tc>
        <w:tc>
          <w:tcPr>
            <w:tcW w:w="138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7"/>
              </w:rPr>
              <w:t>Sep. 2043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7"/>
              </w:rPr>
              <w:t>Sept. 2013</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4"/>
              </w:rPr>
              <w:t>2012-Servicing Advance Revolving Trust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3 (3)</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 2043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Mar.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248,999</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2012-Servicing Advance Revolving Trust</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3 (3)</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3.72 – 7.04%</w:t>
            </w:r>
          </w:p>
        </w:tc>
        <w:tc>
          <w:tcPr>
            <w:tcW w:w="138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2044</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Mar. 2014</w:t>
            </w:r>
          </w:p>
        </w:tc>
        <w:tc>
          <w:tcPr>
            <w:tcW w:w="2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299,278</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Total fixed rate</w:t>
            </w:r>
          </w:p>
        </w:tc>
        <w:tc>
          <w:tcPr>
            <w:tcW w:w="360" w:type="dxa"/>
            <w:vAlign w:val="bottom"/>
            <w:tcBorders>
              <w:bottom w:val="single" w:sz="8" w:color="CCEECC"/>
            </w:tcBorders>
          </w:tcPr>
          <w:p>
            <w:pPr>
              <w:spacing w:after="0"/>
              <w:rPr>
                <w:sz w:val="18"/>
                <w:szCs w:val="18"/>
                <w:color w:val="auto"/>
              </w:rPr>
            </w:pPr>
          </w:p>
        </w:tc>
        <w:tc>
          <w:tcPr>
            <w:tcW w:w="114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116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116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1,648,277</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CC"/>
          </w:tcPr>
          <w:p>
            <w:pPr>
              <w:spacing w:after="0"/>
              <w:rPr>
                <w:sz w:val="20"/>
                <w:szCs w:val="20"/>
                <w:color w:val="auto"/>
              </w:rPr>
            </w:pPr>
            <w:r>
              <w:rPr>
                <w:rFonts w:ascii="Arial" w:cs="Arial" w:eastAsia="Arial" w:hAnsi="Arial"/>
                <w:sz w:val="18"/>
                <w:szCs w:val="18"/>
                <w:color w:val="auto"/>
                <w:w w:val="99"/>
              </w:rPr>
              <w:t>Advance Receivable Backed Notes (4)</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1ML + 285 bps</w:t>
            </w:r>
          </w:p>
        </w:tc>
        <w:tc>
          <w:tcPr>
            <w:tcW w:w="138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2"/>
              </w:rPr>
              <w:t>Apr. 2015</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Apr. 2014</w:t>
            </w: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125,003</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174,997</w:t>
            </w: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205,016</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1"/>
              </w:rPr>
              <w:t>Advance Receivable Backed Notes Series</w:t>
            </w:r>
          </w:p>
        </w:tc>
        <w:tc>
          <w:tcPr>
            <w:tcW w:w="172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CP rate + 225</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2012-ADV1 (5)</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or 335 bps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2043</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Dec.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258,172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191,828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232,712</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Advance Receivable Backed Notes Series</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2012-ADV1</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1ML + 250 bps</w:t>
            </w:r>
          </w:p>
        </w:tc>
        <w:tc>
          <w:tcPr>
            <w:tcW w:w="138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87"/>
              </w:rPr>
              <w:t>June 2016</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June 2014</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21,391</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178,609</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94,095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Advance Receivable Backed Note</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1ML + 300 bps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2015</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Dec. 2014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47,608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2011-Servicing Advance Revolving Trust</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1 (3)</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1ML + 300 bps</w:t>
            </w:r>
          </w:p>
        </w:tc>
        <w:tc>
          <w:tcPr>
            <w:tcW w:w="138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3"/>
              </w:rPr>
              <w:t>May 2043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May 2013</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204,633</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4"/>
              </w:rPr>
              <w:t>2012-Servicing Advance Revolving Trust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2 (3)</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1ML + 315 bps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2043</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Sept.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22,003</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2012-Servicing Advance Revolving Trust</w:t>
            </w:r>
          </w:p>
        </w:tc>
        <w:tc>
          <w:tcPr>
            <w:tcW w:w="1720" w:type="dxa"/>
            <w:vAlign w:val="bottom"/>
            <w:gridSpan w:val="3"/>
            <w:shd w:val="clear" w:color="auto" w:fill="CCEECC"/>
          </w:tcPr>
          <w:p>
            <w:pPr>
              <w:ind w:left="360"/>
              <w:spacing w:after="0" w:line="201" w:lineRule="exact"/>
              <w:rPr>
                <w:sz w:val="20"/>
                <w:szCs w:val="20"/>
                <w:color w:val="auto"/>
              </w:rPr>
            </w:pPr>
            <w:r>
              <w:rPr>
                <w:rFonts w:ascii="Arial" w:cs="Arial" w:eastAsia="Arial" w:hAnsi="Arial"/>
                <w:sz w:val="18"/>
                <w:szCs w:val="18"/>
                <w:color w:val="auto"/>
              </w:rPr>
              <w:t>1ML + 300 bps</w:t>
            </w: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3 (3)</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 675 bps</w:t>
            </w:r>
          </w:p>
        </w:tc>
        <w:tc>
          <w:tcPr>
            <w:tcW w:w="138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2044</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Mar. 2014</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40,626</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2012-Homeward Agency Advance</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Funding Trust 2012-1</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1ML + 300 bps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2013</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Sept.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20,335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2"/>
              </w:rPr>
              <w:t>2012-Homeward DSF Advance Revolving</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Trust 2012-1 (3)</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1ML + 450 bps</w:t>
            </w:r>
          </w:p>
        </w:tc>
        <w:tc>
          <w:tcPr>
            <w:tcW w:w="138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8"/>
              </w:rPr>
              <w:t>Feb. 2013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Feb. 2013</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3"/>
              </w:rPr>
              <w:t>Homeward Residential Bridge Loan Trust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w w:val="94"/>
              </w:rPr>
              <w:t>– 2013 Series-Bridge-VF1 and VF2 (3)</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1ML + 150 bps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2043</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246,752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1,153,248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Ocwen Servicer Advance Receivables</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w w:val="94"/>
              </w:rPr>
              <w:t>Trust – Series 2013-VF1 Class A, B, C</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1ML + 150 –</w:t>
            </w:r>
          </w:p>
        </w:tc>
        <w:tc>
          <w:tcPr>
            <w:tcW w:w="11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and D Notes</w:t>
            </w:r>
          </w:p>
        </w:tc>
        <w:tc>
          <w:tcPr>
            <w:tcW w:w="1720" w:type="dxa"/>
            <w:vAlign w:val="bottom"/>
            <w:gridSpan w:val="3"/>
            <w:shd w:val="clear" w:color="auto" w:fill="CCEECC"/>
          </w:tcPr>
          <w:p>
            <w:pPr>
              <w:ind w:left="360"/>
              <w:spacing w:after="0"/>
              <w:rPr>
                <w:sz w:val="20"/>
                <w:szCs w:val="20"/>
                <w:color w:val="auto"/>
              </w:rPr>
            </w:pPr>
            <w:r>
              <w:rPr>
                <w:rFonts w:ascii="Arial" w:cs="Arial" w:eastAsia="Arial" w:hAnsi="Arial"/>
                <w:sz w:val="18"/>
                <w:szCs w:val="18"/>
                <w:color w:val="auto"/>
              </w:rPr>
              <w:t>525 bps</w:t>
            </w:r>
          </w:p>
        </w:tc>
        <w:tc>
          <w:tcPr>
            <w:tcW w:w="138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8"/>
              </w:rPr>
              <w:t>Feb. 2044</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Feb. 2014</w:t>
            </w:r>
          </w:p>
        </w:tc>
        <w:tc>
          <w:tcPr>
            <w:tcW w:w="2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318,081</w:t>
            </w:r>
          </w:p>
        </w:tc>
        <w:tc>
          <w:tcPr>
            <w:tcW w:w="10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881,919</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Ocwen Servicer Advance Receivables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5"/>
              </w:rPr>
              <w:t>Trust II – Series 2013-VF1 Class A, B,</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1ML + 287.5</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C and D Notes</w:t>
            </w:r>
          </w:p>
        </w:tc>
        <w:tc>
          <w:tcPr>
            <w:tcW w:w="1720" w:type="dxa"/>
            <w:vAlign w:val="bottom"/>
            <w:gridSpan w:val="3"/>
          </w:tcPr>
          <w:p>
            <w:pPr>
              <w:ind w:left="360"/>
              <w:spacing w:after="0"/>
              <w:rPr>
                <w:sz w:val="20"/>
                <w:szCs w:val="20"/>
                <w:color w:val="auto"/>
              </w:rPr>
            </w:pPr>
            <w:r>
              <w:rPr>
                <w:rFonts w:ascii="Arial" w:cs="Arial" w:eastAsia="Arial" w:hAnsi="Arial"/>
                <w:sz w:val="18"/>
                <w:szCs w:val="18"/>
                <w:color w:val="auto"/>
              </w:rPr>
              <w:t>bps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2044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Feb. 2014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334,440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variable rate</w:t>
            </w:r>
          </w:p>
        </w:tc>
        <w:tc>
          <w:tcPr>
            <w:tcW w:w="36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992,016</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2,982,984</w:t>
            </w:r>
          </w:p>
        </w:tc>
        <w:tc>
          <w:tcPr>
            <w:tcW w:w="1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884,468</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992,016</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2,982,984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6" w:name="page27"/>
    <w:bookmarkEnd w:id="26"/>
    <w:p>
      <w:pPr>
        <w:ind w:left="340" w:right="20" w:hanging="332"/>
        <w:spacing w:after="0" w:line="30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13" w:lineRule="exact"/>
        <w:rPr>
          <w:rFonts w:ascii="Arial" w:cs="Arial" w:eastAsia="Arial" w:hAnsi="Arial"/>
          <w:sz w:val="16"/>
          <w:szCs w:val="16"/>
          <w:color w:val="auto"/>
        </w:rPr>
      </w:pPr>
    </w:p>
    <w:p>
      <w:pPr>
        <w:ind w:left="340" w:right="1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March 31, 2013, none of the available borrowing capacity could be used because we had borrowed the maximum amount against the pledged collateral.</w:t>
      </w:r>
    </w:p>
    <w:p>
      <w:pPr>
        <w:spacing w:after="0" w:line="96" w:lineRule="exact"/>
        <w:rPr>
          <w:rFonts w:ascii="Arial" w:cs="Arial" w:eastAsia="Arial" w:hAnsi="Arial"/>
          <w:sz w:val="16"/>
          <w:szCs w:val="16"/>
          <w:color w:val="auto"/>
        </w:rPr>
      </w:pPr>
    </w:p>
    <w:p>
      <w:pPr>
        <w:ind w:left="340" w:right="2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2011-Servicing Advance Revolving Trust 1, 2012-Servicing Advance Revolving Trust 2, 2012-Servicing Advance Revolving Trust 3 and 2012-Homeward DSF Advance Revolving Trust 2012-1 facilities were repaid in February 2013 from the proceeds of a new $1.4 billion bridge facility which has an amortization date of August 14, 2013.</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borrowing capacity under this facility was reduced from $650 million to $300 million on December 26, 2012.</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borrowing capacity under this facility was increased from $250 million to $450 million on December 26, 2012.</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entered into these facilities in connection with the ResCap Acquisition (See Note 3 – Business Acquisitions).</w:t>
      </w:r>
    </w:p>
    <w:p>
      <w:pPr>
        <w:spacing w:after="0" w:line="18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15</w:t>
        <w:tab/>
        <w:t>OTHER BORROWINGS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Lines of credit and other secured and unsecured borrowings are comprised of the following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Available</w:t>
            </w:r>
          </w:p>
        </w:tc>
        <w:tc>
          <w:tcPr>
            <w:tcW w:w="100" w:type="dxa"/>
            <w:vAlign w:val="bottom"/>
          </w:tcPr>
          <w:p>
            <w:pPr>
              <w:spacing w:after="0"/>
              <w:rPr>
                <w:sz w:val="21"/>
                <w:szCs w:val="21"/>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1"/>
              </w:rPr>
              <w:t>Borrowing</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2"/>
          </w:tcPr>
          <w:p>
            <w:pPr>
              <w:ind w:left="360"/>
              <w:spacing w:after="0"/>
              <w:rPr>
                <w:sz w:val="20"/>
                <w:szCs w:val="20"/>
                <w:color w:val="auto"/>
              </w:rPr>
            </w:pPr>
            <w:r>
              <w:rPr>
                <w:rFonts w:ascii="Arial" w:cs="Arial" w:eastAsia="Arial" w:hAnsi="Arial"/>
                <w:sz w:val="18"/>
                <w:szCs w:val="18"/>
                <w:b w:val="1"/>
                <w:bCs w:val="1"/>
                <w:color w:val="auto"/>
              </w:rPr>
              <w:t>Borrowings</w:t>
            </w:r>
          </w:p>
        </w:tc>
        <w:tc>
          <w:tcPr>
            <w:tcW w:w="36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 Rate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Capacity</w:t>
            </w: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auto"/>
            </w:tcBorders>
            <w:gridSpan w:val="4"/>
            <w:shd w:val="clear" w:color="auto" w:fill="CCEECC"/>
          </w:tcPr>
          <w:p>
            <w:pPr>
              <w:spacing w:after="0" w:line="170" w:lineRule="exact"/>
              <w:rPr>
                <w:sz w:val="20"/>
                <w:szCs w:val="20"/>
                <w:color w:val="auto"/>
              </w:rPr>
            </w:pPr>
            <w:r>
              <w:rPr>
                <w:rFonts w:ascii="Arial" w:cs="Arial" w:eastAsia="Arial" w:hAnsi="Arial"/>
                <w:sz w:val="18"/>
                <w:szCs w:val="18"/>
                <w:color w:val="auto"/>
              </w:rPr>
              <w:t>Servicing:</w:t>
            </w:r>
          </w:p>
        </w:tc>
        <w:tc>
          <w:tcPr>
            <w:tcW w:w="360" w:type="dxa"/>
            <w:vAlign w:val="bottom"/>
            <w:tcBorders>
              <w:top w:val="single" w:sz="8" w:color="CCEECC"/>
            </w:tcBorders>
            <w:shd w:val="clear" w:color="auto" w:fill="CCEECC"/>
          </w:tcPr>
          <w:p>
            <w:pPr>
              <w:spacing w:after="0"/>
              <w:rPr>
                <w:sz w:val="16"/>
                <w:szCs w:val="16"/>
                <w:color w:val="auto"/>
              </w:rPr>
            </w:pPr>
          </w:p>
        </w:tc>
        <w:tc>
          <w:tcPr>
            <w:tcW w:w="114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16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12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32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320" w:type="dxa"/>
            <w:vAlign w:val="bottom"/>
            <w:tcBorders>
              <w:top w:val="single" w:sz="8" w:color="CCEECC"/>
            </w:tcBorders>
            <w:shd w:val="clear" w:color="auto" w:fill="CCEECC"/>
          </w:tcPr>
          <w:p>
            <w:pPr>
              <w:spacing w:after="0"/>
              <w:rPr>
                <w:sz w:val="16"/>
                <w:szCs w:val="16"/>
                <w:color w:val="auto"/>
              </w:rPr>
            </w:pPr>
          </w:p>
        </w:tc>
        <w:tc>
          <w:tcPr>
            <w:tcW w:w="220" w:type="dxa"/>
            <w:vAlign w:val="bottom"/>
            <w:tcBorders>
              <w:top w:val="single" w:sz="8" w:color="auto"/>
            </w:tcBorders>
            <w:shd w:val="clear" w:color="auto" w:fill="CCEECC"/>
          </w:tcPr>
          <w:p>
            <w:pPr>
              <w:spacing w:after="0"/>
              <w:rPr>
                <w:sz w:val="16"/>
                <w:szCs w:val="16"/>
                <w:color w:val="auto"/>
              </w:rPr>
            </w:pPr>
          </w:p>
        </w:tc>
        <w:tc>
          <w:tcPr>
            <w:tcW w:w="88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CCEECC"/>
            </w:tcBorders>
          </w:tcPr>
          <w:p>
            <w:pPr>
              <w:spacing w:after="0"/>
              <w:rPr>
                <w:sz w:val="17"/>
                <w:szCs w:val="17"/>
                <w:color w:val="auto"/>
              </w:rPr>
            </w:pPr>
          </w:p>
        </w:tc>
        <w:tc>
          <w:tcPr>
            <w:tcW w:w="1160" w:type="dxa"/>
            <w:vAlign w:val="bottom"/>
            <w:tcBorders>
              <w:top w:val="single" w:sz="8" w:color="CCEECC"/>
            </w:tcBorders>
          </w:tcPr>
          <w:p>
            <w:pPr>
              <w:spacing w:after="0"/>
              <w:rPr>
                <w:sz w:val="17"/>
                <w:szCs w:val="17"/>
                <w:color w:val="auto"/>
              </w:rPr>
            </w:pPr>
          </w:p>
        </w:tc>
        <w:tc>
          <w:tcPr>
            <w:tcW w:w="360" w:type="dxa"/>
            <w:vAlign w:val="bottom"/>
            <w:tcBorders>
              <w:top w:val="single" w:sz="8" w:color="CCEECC"/>
            </w:tcBorders>
          </w:tcPr>
          <w:p>
            <w:pPr>
              <w:spacing w:after="0"/>
              <w:rPr>
                <w:sz w:val="17"/>
                <w:szCs w:val="17"/>
                <w:color w:val="auto"/>
              </w:rPr>
            </w:pPr>
          </w:p>
        </w:tc>
        <w:tc>
          <w:tcPr>
            <w:tcW w:w="1140" w:type="dxa"/>
            <w:vAlign w:val="bottom"/>
            <w:tcBorders>
              <w:top w:val="single" w:sz="8" w:color="CCEECC"/>
            </w:tcBorders>
          </w:tcPr>
          <w:p>
            <w:pPr>
              <w:spacing w:after="0"/>
              <w:rPr>
                <w:sz w:val="17"/>
                <w:szCs w:val="17"/>
                <w:color w:val="auto"/>
              </w:rPr>
            </w:pPr>
          </w:p>
        </w:tc>
        <w:tc>
          <w:tcPr>
            <w:tcW w:w="1600" w:type="dxa"/>
            <w:vAlign w:val="bottom"/>
            <w:tcBorders>
              <w:top w:val="single" w:sz="8" w:color="CCEECC"/>
            </w:tcBorders>
            <w:gridSpan w:val="3"/>
          </w:tcPr>
          <w:p>
            <w:pPr>
              <w:ind w:left="220"/>
              <w:spacing w:after="0" w:line="201" w:lineRule="exact"/>
              <w:rPr>
                <w:sz w:val="20"/>
                <w:szCs w:val="20"/>
                <w:color w:val="auto"/>
              </w:rPr>
            </w:pPr>
            <w:r>
              <w:rPr>
                <w:rFonts w:ascii="Arial" w:cs="Arial" w:eastAsia="Arial" w:hAnsi="Arial"/>
                <w:sz w:val="18"/>
                <w:szCs w:val="18"/>
                <w:color w:val="auto"/>
              </w:rPr>
              <w:t>1ML + 550 bps</w:t>
            </w:r>
          </w:p>
        </w:tc>
        <w:tc>
          <w:tcPr>
            <w:tcW w:w="1120" w:type="dxa"/>
            <w:vAlign w:val="bottom"/>
            <w:tcBorders>
              <w:top w:val="single" w:sz="8" w:color="CCEECC"/>
            </w:tcBorders>
          </w:tcPr>
          <w:p>
            <w:pPr>
              <w:spacing w:after="0"/>
              <w:rPr>
                <w:sz w:val="17"/>
                <w:szCs w:val="17"/>
                <w:color w:val="auto"/>
              </w:rPr>
            </w:pPr>
          </w:p>
        </w:tc>
        <w:tc>
          <w:tcPr>
            <w:tcW w:w="220" w:type="dxa"/>
            <w:vAlign w:val="bottom"/>
            <w:tcBorders>
              <w:top w:val="single" w:sz="8" w:color="CCEECC"/>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920" w:type="dxa"/>
            <w:vAlign w:val="bottom"/>
            <w:tcBorders>
              <w:top w:val="single" w:sz="8" w:color="CCEECC"/>
            </w:tcBorders>
          </w:tcPr>
          <w:p>
            <w:pPr>
              <w:spacing w:after="0"/>
              <w:rPr>
                <w:sz w:val="17"/>
                <w:szCs w:val="17"/>
                <w:color w:val="auto"/>
              </w:rPr>
            </w:pPr>
          </w:p>
        </w:tc>
        <w:tc>
          <w:tcPr>
            <w:tcW w:w="320" w:type="dxa"/>
            <w:vAlign w:val="bottom"/>
            <w:tcBorders>
              <w:top w:val="single" w:sz="8" w:color="CCEECC"/>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920" w:type="dxa"/>
            <w:vAlign w:val="bottom"/>
            <w:tcBorders>
              <w:top w:val="single" w:sz="8" w:color="CCEECC"/>
            </w:tcBorders>
          </w:tcPr>
          <w:p>
            <w:pPr>
              <w:spacing w:after="0"/>
              <w:rPr>
                <w:sz w:val="17"/>
                <w:szCs w:val="17"/>
                <w:color w:val="auto"/>
              </w:rPr>
            </w:pPr>
          </w:p>
        </w:tc>
        <w:tc>
          <w:tcPr>
            <w:tcW w:w="320" w:type="dxa"/>
            <w:vAlign w:val="bottom"/>
            <w:tcBorders>
              <w:top w:val="single" w:sz="8" w:color="CCEECC"/>
            </w:tcBorders>
          </w:tcPr>
          <w:p>
            <w:pPr>
              <w:spacing w:after="0"/>
              <w:rPr>
                <w:sz w:val="17"/>
                <w:szCs w:val="17"/>
                <w:color w:val="auto"/>
              </w:rPr>
            </w:pPr>
          </w:p>
        </w:tc>
        <w:tc>
          <w:tcPr>
            <w:tcW w:w="220" w:type="dxa"/>
            <w:vAlign w:val="bottom"/>
            <w:tcBorders>
              <w:top w:val="single" w:sz="8" w:color="CCEECC"/>
            </w:tcBorders>
          </w:tcPr>
          <w:p>
            <w:pPr>
              <w:spacing w:after="0"/>
              <w:rPr>
                <w:sz w:val="17"/>
                <w:szCs w:val="17"/>
                <w:color w:val="auto"/>
              </w:rPr>
            </w:pPr>
          </w:p>
        </w:tc>
        <w:tc>
          <w:tcPr>
            <w:tcW w:w="880" w:type="dxa"/>
            <w:vAlign w:val="bottom"/>
            <w:tcBorders>
              <w:top w:val="single" w:sz="8" w:color="CCEECC"/>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with a LIBOR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floor of 150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bps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SSTL (1)</w:t>
            </w: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CC"/>
          </w:tcPr>
          <w:p>
            <w:pPr>
              <w:ind w:lef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7"/>
              </w:rPr>
              <w:t>Sept. 2016</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314,229</w:t>
            </w:r>
          </w:p>
        </w:tc>
        <w:tc>
          <w:tcPr>
            <w:tcW w:w="0" w:type="dxa"/>
            <w:vAlign w:val="bottom"/>
          </w:tcPr>
          <w:p>
            <w:pPr>
              <w:spacing w:after="0"/>
              <w:rPr>
                <w:sz w:val="1"/>
                <w:szCs w:val="1"/>
                <w:color w:val="auto"/>
              </w:rPr>
            </w:pPr>
          </w:p>
        </w:tc>
      </w:tr>
      <w:tr>
        <w:trPr>
          <w:trHeight w:val="230"/>
        </w:trPr>
        <w:tc>
          <w:tcPr>
            <w:tcW w:w="3100" w:type="dxa"/>
            <w:vAlign w:val="bottom"/>
            <w:gridSpan w:val="4"/>
          </w:tcPr>
          <w:p>
            <w:pPr>
              <w:ind w:left="160"/>
              <w:spacing w:after="0"/>
              <w:rPr>
                <w:sz w:val="20"/>
                <w:szCs w:val="20"/>
                <w:color w:val="auto"/>
              </w:rPr>
            </w:pPr>
            <w:r>
              <w:rPr>
                <w:rFonts w:ascii="Arial" w:cs="Arial" w:eastAsia="Arial" w:hAnsi="Arial"/>
                <w:sz w:val="18"/>
                <w:szCs w:val="18"/>
                <w:color w:val="auto"/>
              </w:rPr>
              <w:t>SSTL (2)</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2018</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gridSpan w:val="4"/>
            <w:shd w:val="clear" w:color="auto" w:fill="CCEECC"/>
          </w:tcPr>
          <w:p>
            <w:pPr>
              <w:ind w:left="160"/>
              <w:spacing w:after="0" w:line="201" w:lineRule="exact"/>
              <w:rPr>
                <w:sz w:val="20"/>
                <w:szCs w:val="20"/>
                <w:color w:val="auto"/>
              </w:rPr>
            </w:pPr>
            <w:r>
              <w:rPr>
                <w:rFonts w:ascii="Arial" w:cs="Arial" w:eastAsia="Arial" w:hAnsi="Arial"/>
                <w:sz w:val="18"/>
                <w:szCs w:val="18"/>
                <w:color w:val="auto"/>
              </w:rPr>
              <w:t>Senior unsecured term loan (3)</w:t>
            </w: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600" w:type="dxa"/>
            <w:vAlign w:val="bottom"/>
            <w:gridSpan w:val="3"/>
            <w:shd w:val="clear" w:color="auto" w:fill="CCEECC"/>
          </w:tcPr>
          <w:p>
            <w:pPr>
              <w:ind w:left="220"/>
              <w:spacing w:after="0" w:line="201" w:lineRule="exact"/>
              <w:rPr>
                <w:sz w:val="20"/>
                <w:szCs w:val="20"/>
                <w:color w:val="auto"/>
              </w:rPr>
            </w:pPr>
            <w:r>
              <w:rPr>
                <w:rFonts w:ascii="Arial" w:cs="Arial" w:eastAsia="Arial" w:hAnsi="Arial"/>
                <w:sz w:val="18"/>
                <w:szCs w:val="18"/>
                <w:color w:val="auto"/>
              </w:rPr>
              <w:t>1-Month Euro-</w:t>
            </w:r>
          </w:p>
        </w:tc>
        <w:tc>
          <w:tcPr>
            <w:tcW w:w="11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dollar rate +</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675 bps with a</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Eurodollar</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floor of 150</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0" w:type="dxa"/>
            <w:vAlign w:val="bottom"/>
            <w:shd w:val="clear" w:color="auto" w:fill="CCEECC"/>
          </w:tcPr>
          <w:p>
            <w:pPr>
              <w:spacing w:after="0"/>
              <w:rPr>
                <w:sz w:val="20"/>
                <w:szCs w:val="20"/>
                <w:color w:val="auto"/>
              </w:rPr>
            </w:pPr>
          </w:p>
        </w:tc>
        <w:tc>
          <w:tcPr>
            <w:tcW w:w="1160" w:type="dxa"/>
            <w:vAlign w:val="bottom"/>
            <w:shd w:val="clear" w:color="auto" w:fill="CCEECC"/>
          </w:tcPr>
          <w:p>
            <w:pPr>
              <w:spacing w:after="0"/>
              <w:rPr>
                <w:sz w:val="20"/>
                <w:szCs w:val="20"/>
                <w:color w:val="auto"/>
              </w:rPr>
            </w:pPr>
          </w:p>
        </w:tc>
        <w:tc>
          <w:tcPr>
            <w:tcW w:w="36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bps</w:t>
            </w:r>
          </w:p>
        </w:tc>
        <w:tc>
          <w:tcPr>
            <w:tcW w:w="134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2017</w:t>
            </w:r>
          </w:p>
        </w:tc>
        <w:tc>
          <w:tcPr>
            <w:tcW w:w="10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3100" w:type="dxa"/>
            <w:vAlign w:val="bottom"/>
            <w:gridSpan w:val="4"/>
          </w:tcPr>
          <w:p>
            <w:pPr>
              <w:ind w:left="160"/>
              <w:spacing w:after="0"/>
              <w:rPr>
                <w:sz w:val="20"/>
                <w:szCs w:val="20"/>
                <w:color w:val="auto"/>
              </w:rPr>
            </w:pPr>
            <w:r>
              <w:rPr>
                <w:rFonts w:ascii="Arial" w:cs="Arial" w:eastAsia="Arial" w:hAnsi="Arial"/>
                <w:sz w:val="18"/>
                <w:szCs w:val="18"/>
                <w:color w:val="auto"/>
                <w:w w:val="96"/>
              </w:rPr>
              <w:t>Financing liability – MSRs pledged (4)</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MSRs (4)</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393,776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303,705</w:t>
            </w: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w w:val="96"/>
              </w:rPr>
              <w:t>Financing liability – MSRs pledged (5)</w:t>
            </w: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MSRs (5)</w:t>
            </w:r>
          </w:p>
        </w:tc>
        <w:tc>
          <w:tcPr>
            <w:tcW w:w="1380" w:type="dxa"/>
            <w:vAlign w:val="bottom"/>
            <w:gridSpan w:val="2"/>
            <w:shd w:val="clear" w:color="auto" w:fill="CCEECC"/>
          </w:tcPr>
          <w:p>
            <w:pPr>
              <w:ind w:lef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CC"/>
          </w:tcPr>
          <w:p>
            <w:pPr>
              <w:spacing w:after="0"/>
              <w:rPr>
                <w:sz w:val="18"/>
                <w:szCs w:val="18"/>
                <w:color w:val="auto"/>
              </w:rPr>
            </w:pPr>
          </w:p>
        </w:tc>
        <w:tc>
          <w:tcPr>
            <w:tcW w:w="11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(5)</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30"/>
        </w:trPr>
        <w:tc>
          <w:tcPr>
            <w:tcW w:w="3100" w:type="dxa"/>
            <w:vAlign w:val="bottom"/>
            <w:gridSpan w:val="4"/>
          </w:tcPr>
          <w:p>
            <w:pPr>
              <w:ind w:left="160"/>
              <w:spacing w:after="0"/>
              <w:rPr>
                <w:sz w:val="20"/>
                <w:szCs w:val="20"/>
                <w:color w:val="auto"/>
              </w:rPr>
            </w:pPr>
            <w:r>
              <w:rPr>
                <w:rFonts w:ascii="Arial" w:cs="Arial" w:eastAsia="Arial" w:hAnsi="Arial"/>
                <w:sz w:val="18"/>
                <w:szCs w:val="18"/>
                <w:color w:val="auto"/>
              </w:rPr>
              <w:t>Promissory note (6)</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MSRs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1ML + 350 bps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2017</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18,467</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1,714,133</w:t>
            </w:r>
          </w:p>
        </w:tc>
        <w:tc>
          <w:tcPr>
            <w:tcW w:w="3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714,003</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100" w:type="dxa"/>
            <w:vAlign w:val="bottom"/>
            <w:gridSpan w:val="4"/>
          </w:tcPr>
          <w:p>
            <w:pPr>
              <w:spacing w:after="0"/>
              <w:rPr>
                <w:sz w:val="20"/>
                <w:szCs w:val="20"/>
                <w:color w:val="auto"/>
              </w:rPr>
            </w:pPr>
            <w:r>
              <w:rPr>
                <w:rFonts w:ascii="Arial" w:cs="Arial" w:eastAsia="Arial" w:hAnsi="Arial"/>
                <w:sz w:val="18"/>
                <w:szCs w:val="18"/>
                <w:color w:val="auto"/>
              </w:rPr>
              <w:t>Lending:</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4"/>
            <w:shd w:val="clear" w:color="auto" w:fill="CCEECC"/>
          </w:tcPr>
          <w:p>
            <w:pPr>
              <w:ind w:left="160"/>
              <w:spacing w:after="0" w:line="201" w:lineRule="exact"/>
              <w:rPr>
                <w:sz w:val="20"/>
                <w:szCs w:val="20"/>
                <w:color w:val="auto"/>
              </w:rPr>
            </w:pPr>
            <w:r>
              <w:rPr>
                <w:rFonts w:ascii="Arial" w:cs="Arial" w:eastAsia="Arial" w:hAnsi="Arial"/>
                <w:sz w:val="18"/>
                <w:szCs w:val="18"/>
                <w:color w:val="auto"/>
              </w:rPr>
              <w:t>Master repurchase agreement (7)</w:t>
            </w:r>
          </w:p>
        </w:tc>
        <w:tc>
          <w:tcPr>
            <w:tcW w:w="1500" w:type="dxa"/>
            <w:vAlign w:val="bottom"/>
            <w:gridSpan w:val="2"/>
            <w:shd w:val="clear" w:color="auto" w:fill="CCEECC"/>
          </w:tcPr>
          <w:p>
            <w:pPr>
              <w:ind w:left="360"/>
              <w:spacing w:after="0" w:line="201" w:lineRule="exact"/>
              <w:rPr>
                <w:sz w:val="20"/>
                <w:szCs w:val="20"/>
                <w:color w:val="auto"/>
              </w:rPr>
            </w:pPr>
            <w:r>
              <w:rPr>
                <w:rFonts w:ascii="Arial" w:cs="Arial" w:eastAsia="Arial" w:hAnsi="Arial"/>
                <w:sz w:val="18"/>
                <w:szCs w:val="18"/>
                <w:color w:val="auto"/>
                <w:w w:val="98"/>
              </w:rPr>
              <w:t>Loans held for</w:t>
            </w:r>
          </w:p>
        </w:tc>
        <w:tc>
          <w:tcPr>
            <w:tcW w:w="2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1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0" w:type="dxa"/>
            <w:vAlign w:val="bottom"/>
            <w:shd w:val="clear" w:color="auto" w:fill="CCEECC"/>
          </w:tcPr>
          <w:p>
            <w:pPr>
              <w:spacing w:after="0"/>
              <w:rPr>
                <w:sz w:val="20"/>
                <w:szCs w:val="20"/>
                <w:color w:val="auto"/>
              </w:rPr>
            </w:pPr>
          </w:p>
        </w:tc>
        <w:tc>
          <w:tcPr>
            <w:tcW w:w="1160" w:type="dxa"/>
            <w:vAlign w:val="bottom"/>
            <w:shd w:val="clear" w:color="auto" w:fill="CCEECC"/>
          </w:tcPr>
          <w:p>
            <w:pPr>
              <w:spacing w:after="0"/>
              <w:rPr>
                <w:sz w:val="20"/>
                <w:szCs w:val="20"/>
                <w:color w:val="auto"/>
              </w:rPr>
            </w:pP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sale (LHFS)</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1ML + 175 bps</w:t>
            </w:r>
          </w:p>
        </w:tc>
        <w:tc>
          <w:tcPr>
            <w:tcW w:w="134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2014</w:t>
            </w:r>
          </w:p>
        </w:tc>
        <w:tc>
          <w:tcPr>
            <w:tcW w:w="10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194,788</w:t>
            </w:r>
          </w:p>
        </w:tc>
        <w:tc>
          <w:tcPr>
            <w:tcW w:w="10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105,212</w:t>
            </w:r>
          </w:p>
        </w:tc>
        <w:tc>
          <w:tcPr>
            <w:tcW w:w="220" w:type="dxa"/>
            <w:vAlign w:val="bottom"/>
            <w:shd w:val="clear" w:color="auto" w:fill="CCEECC"/>
          </w:tcPr>
          <w:p>
            <w:pPr>
              <w:spacing w:after="0"/>
              <w:rPr>
                <w:sz w:val="20"/>
                <w:szCs w:val="20"/>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88,122</w:t>
            </w:r>
          </w:p>
        </w:tc>
        <w:tc>
          <w:tcPr>
            <w:tcW w:w="0" w:type="dxa"/>
            <w:vAlign w:val="bottom"/>
          </w:tcPr>
          <w:p>
            <w:pPr>
              <w:spacing w:after="0"/>
              <w:rPr>
                <w:sz w:val="1"/>
                <w:szCs w:val="1"/>
                <w:color w:val="auto"/>
              </w:rPr>
            </w:pPr>
          </w:p>
        </w:tc>
      </w:tr>
      <w:tr>
        <w:trPr>
          <w:trHeight w:val="216"/>
        </w:trPr>
        <w:tc>
          <w:tcPr>
            <w:tcW w:w="3100" w:type="dxa"/>
            <w:vAlign w:val="bottom"/>
            <w:gridSpan w:val="4"/>
          </w:tcPr>
          <w:p>
            <w:pPr>
              <w:ind w:left="160"/>
              <w:spacing w:after="0"/>
              <w:rPr>
                <w:sz w:val="20"/>
                <w:szCs w:val="20"/>
                <w:color w:val="auto"/>
              </w:rPr>
            </w:pPr>
            <w:r>
              <w:rPr>
                <w:rFonts w:ascii="Arial" w:cs="Arial" w:eastAsia="Arial" w:hAnsi="Arial"/>
                <w:sz w:val="18"/>
                <w:szCs w:val="18"/>
                <w:color w:val="auto"/>
              </w:rPr>
              <w:t>Participation agreement (8)</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LHFS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2013</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50,682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58,938</w:t>
            </w: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Master repurchase agreement (9)</w:t>
            </w: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LHFS</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1ML + 200 bps</w:t>
            </w:r>
          </w:p>
        </w:tc>
        <w:tc>
          <w:tcPr>
            <w:tcW w:w="134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1"/>
              </w:rPr>
              <w:t>May 2013</w:t>
            </w:r>
          </w:p>
        </w:tc>
        <w:tc>
          <w:tcPr>
            <w:tcW w:w="1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195,996</w:t>
            </w:r>
          </w:p>
        </w:tc>
        <w:tc>
          <w:tcPr>
            <w:tcW w:w="1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54,004</w:t>
            </w:r>
          </w:p>
        </w:tc>
        <w:tc>
          <w:tcPr>
            <w:tcW w:w="22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133,995</w:t>
            </w:r>
          </w:p>
        </w:tc>
        <w:tc>
          <w:tcPr>
            <w:tcW w:w="0" w:type="dxa"/>
            <w:vAlign w:val="bottom"/>
          </w:tcPr>
          <w:p>
            <w:pPr>
              <w:spacing w:after="0"/>
              <w:rPr>
                <w:sz w:val="1"/>
                <w:szCs w:val="1"/>
                <w:color w:val="auto"/>
              </w:rPr>
            </w:pPr>
          </w:p>
        </w:tc>
      </w:tr>
      <w:tr>
        <w:trPr>
          <w:trHeight w:val="230"/>
        </w:trPr>
        <w:tc>
          <w:tcPr>
            <w:tcW w:w="3100" w:type="dxa"/>
            <w:vAlign w:val="bottom"/>
            <w:gridSpan w:val="4"/>
          </w:tcPr>
          <w:p>
            <w:pPr>
              <w:ind w:left="160"/>
              <w:spacing w:after="0"/>
              <w:rPr>
                <w:sz w:val="20"/>
                <w:szCs w:val="20"/>
                <w:color w:val="auto"/>
              </w:rPr>
            </w:pPr>
            <w:r>
              <w:rPr>
                <w:rFonts w:ascii="Arial" w:cs="Arial" w:eastAsia="Arial" w:hAnsi="Arial"/>
                <w:sz w:val="18"/>
                <w:szCs w:val="18"/>
                <w:color w:val="auto"/>
              </w:rPr>
              <w:t>Master repurchase agreement</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LHFS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1ML + 200 bps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Jul. 2013</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232,392</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67,608</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107,020</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623,176</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277,506</w:t>
            </w:r>
          </w:p>
        </w:tc>
        <w:tc>
          <w:tcPr>
            <w:tcW w:w="3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388,075</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100" w:type="dxa"/>
            <w:vAlign w:val="bottom"/>
            <w:gridSpan w:val="4"/>
          </w:tcPr>
          <w:p>
            <w:pPr>
              <w:spacing w:after="0"/>
              <w:rPr>
                <w:sz w:val="20"/>
                <w:szCs w:val="20"/>
                <w:color w:val="auto"/>
              </w:rPr>
            </w:pPr>
            <w:r>
              <w:rPr>
                <w:rFonts w:ascii="Arial" w:cs="Arial" w:eastAsia="Arial" w:hAnsi="Arial"/>
                <w:sz w:val="18"/>
                <w:szCs w:val="18"/>
                <w:color w:val="auto"/>
              </w:rPr>
              <w:t>Corporate Items and Other</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4"/>
            <w:shd w:val="clear" w:color="auto" w:fill="CCEECC"/>
          </w:tcPr>
          <w:p>
            <w:pPr>
              <w:ind w:left="160"/>
              <w:spacing w:after="0" w:line="201" w:lineRule="exact"/>
              <w:rPr>
                <w:sz w:val="20"/>
                <w:szCs w:val="20"/>
                <w:color w:val="auto"/>
              </w:rPr>
            </w:pPr>
            <w:r>
              <w:rPr>
                <w:rFonts w:ascii="Arial" w:cs="Arial" w:eastAsia="Arial" w:hAnsi="Arial"/>
                <w:sz w:val="18"/>
                <w:szCs w:val="18"/>
                <w:color w:val="auto"/>
                <w:w w:val="95"/>
              </w:rPr>
              <w:t>Securities sold under an agreement to</w:t>
            </w:r>
          </w:p>
        </w:tc>
        <w:tc>
          <w:tcPr>
            <w:tcW w:w="1500" w:type="dxa"/>
            <w:vAlign w:val="bottom"/>
            <w:gridSpan w:val="2"/>
            <w:shd w:val="clear" w:color="auto" w:fill="CCEECC"/>
          </w:tcPr>
          <w:p>
            <w:pPr>
              <w:ind w:left="360"/>
              <w:spacing w:after="0" w:line="201" w:lineRule="exact"/>
              <w:rPr>
                <w:sz w:val="20"/>
                <w:szCs w:val="20"/>
                <w:color w:val="auto"/>
              </w:rPr>
            </w:pPr>
            <w:r>
              <w:rPr>
                <w:rFonts w:ascii="Arial" w:cs="Arial" w:eastAsia="Arial" w:hAnsi="Arial"/>
                <w:sz w:val="18"/>
                <w:szCs w:val="18"/>
                <w:color w:val="auto"/>
              </w:rPr>
              <w:t>Ocwen Real</w:t>
            </w:r>
          </w:p>
        </w:tc>
        <w:tc>
          <w:tcPr>
            <w:tcW w:w="1600" w:type="dxa"/>
            <w:vAlign w:val="bottom"/>
            <w:gridSpan w:val="3"/>
            <w:shd w:val="clear" w:color="auto" w:fill="CCEECC"/>
          </w:tcPr>
          <w:p>
            <w:pPr>
              <w:ind w:left="220"/>
              <w:spacing w:after="0" w:line="201" w:lineRule="exact"/>
              <w:rPr>
                <w:sz w:val="20"/>
                <w:szCs w:val="20"/>
                <w:color w:val="auto"/>
              </w:rPr>
            </w:pPr>
            <w:r>
              <w:rPr>
                <w:rFonts w:ascii="Arial" w:cs="Arial" w:eastAsia="Arial" w:hAnsi="Arial"/>
                <w:sz w:val="18"/>
                <w:szCs w:val="18"/>
                <w:color w:val="auto"/>
              </w:rPr>
              <w:t>Class A-2</w:t>
            </w:r>
          </w:p>
        </w:tc>
        <w:tc>
          <w:tcPr>
            <w:tcW w:w="11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CC"/>
          </w:tcPr>
          <w:p>
            <w:pPr>
              <w:ind w:left="320"/>
              <w:spacing w:after="0"/>
              <w:rPr>
                <w:sz w:val="20"/>
                <w:szCs w:val="20"/>
                <w:color w:val="auto"/>
              </w:rPr>
            </w:pPr>
            <w:r>
              <w:rPr>
                <w:rFonts w:ascii="Arial" w:cs="Arial" w:eastAsia="Arial" w:hAnsi="Arial"/>
                <w:sz w:val="18"/>
                <w:szCs w:val="18"/>
                <w:color w:val="auto"/>
              </w:rPr>
              <w:t>repurchase (10)</w:t>
            </w: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Estate Asset</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notes: 1ML +</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Liquidating</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200 bps; Class</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Trust 2007-1</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A-3 notes:</w:t>
            </w:r>
          </w:p>
        </w:tc>
        <w:tc>
          <w:tcPr>
            <w:tcW w:w="11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1200" w:type="dxa"/>
            <w:vAlign w:val="bottom"/>
            <w:shd w:val="clear" w:color="auto" w:fill="CCEECC"/>
          </w:tcPr>
          <w:p>
            <w:pPr>
              <w:spacing w:after="0"/>
              <w:rPr>
                <w:sz w:val="21"/>
                <w:szCs w:val="21"/>
                <w:color w:val="auto"/>
              </w:rPr>
            </w:pPr>
          </w:p>
        </w:tc>
        <w:tc>
          <w:tcPr>
            <w:tcW w:w="1160" w:type="dxa"/>
            <w:vAlign w:val="bottom"/>
            <w:shd w:val="clear" w:color="auto" w:fill="CCEECC"/>
          </w:tcPr>
          <w:p>
            <w:pPr>
              <w:spacing w:after="0"/>
              <w:rPr>
                <w:sz w:val="21"/>
                <w:szCs w:val="21"/>
                <w:color w:val="auto"/>
              </w:rPr>
            </w:pPr>
          </w:p>
        </w:tc>
        <w:tc>
          <w:tcPr>
            <w:tcW w:w="1500" w:type="dxa"/>
            <w:vAlign w:val="bottom"/>
            <w:gridSpan w:val="2"/>
            <w:shd w:val="clear" w:color="auto" w:fill="CCEECC"/>
          </w:tcPr>
          <w:p>
            <w:pPr>
              <w:ind w:left="360"/>
              <w:spacing w:after="0"/>
              <w:rPr>
                <w:sz w:val="20"/>
                <w:szCs w:val="20"/>
                <w:color w:val="auto"/>
              </w:rPr>
            </w:pPr>
            <w:r>
              <w:rPr>
                <w:rFonts w:ascii="Arial" w:cs="Arial" w:eastAsia="Arial" w:hAnsi="Arial"/>
                <w:sz w:val="18"/>
                <w:szCs w:val="18"/>
                <w:color w:val="auto"/>
              </w:rPr>
              <w:t>Notes</w:t>
            </w:r>
          </w:p>
        </w:tc>
        <w:tc>
          <w:tcPr>
            <w:tcW w:w="1600" w:type="dxa"/>
            <w:vAlign w:val="bottom"/>
            <w:gridSpan w:val="3"/>
            <w:shd w:val="clear" w:color="auto" w:fill="CCEECC"/>
          </w:tcPr>
          <w:p>
            <w:pPr>
              <w:ind w:left="220"/>
              <w:spacing w:after="0"/>
              <w:rPr>
                <w:sz w:val="20"/>
                <w:szCs w:val="20"/>
                <w:color w:val="auto"/>
              </w:rPr>
            </w:pPr>
            <w:r>
              <w:rPr>
                <w:rFonts w:ascii="Arial" w:cs="Arial" w:eastAsia="Arial" w:hAnsi="Arial"/>
                <w:sz w:val="18"/>
                <w:szCs w:val="18"/>
                <w:color w:val="auto"/>
              </w:rPr>
              <w:t>1ML + 300 bps</w:t>
            </w:r>
          </w:p>
        </w:tc>
        <w:tc>
          <w:tcPr>
            <w:tcW w:w="134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8"/>
              </w:rPr>
              <w:t>Monthly</w:t>
            </w:r>
          </w:p>
        </w:tc>
        <w:tc>
          <w:tcPr>
            <w:tcW w:w="100" w:type="dxa"/>
            <w:vAlign w:val="bottom"/>
            <w:shd w:val="clear" w:color="auto" w:fill="CCEECC"/>
          </w:tcPr>
          <w:p>
            <w:pPr>
              <w:spacing w:after="0"/>
              <w:rPr>
                <w:sz w:val="21"/>
                <w:szCs w:val="21"/>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1"/>
                <w:szCs w:val="21"/>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2,592</w:t>
            </w:r>
          </w:p>
        </w:tc>
        <w:tc>
          <w:tcPr>
            <w:tcW w:w="220" w:type="dxa"/>
            <w:vAlign w:val="bottom"/>
            <w:shd w:val="clear" w:color="auto" w:fill="CCEECC"/>
          </w:tcPr>
          <w:p>
            <w:pPr>
              <w:spacing w:after="0"/>
              <w:rPr>
                <w:sz w:val="21"/>
                <w:szCs w:val="21"/>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623,176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1,994,231</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Discount (1)(2)</w:t>
            </w:r>
          </w:p>
        </w:tc>
        <w:tc>
          <w:tcPr>
            <w:tcW w:w="360" w:type="dxa"/>
            <w:vAlign w:val="bottom"/>
            <w:shd w:val="clear" w:color="auto" w:fill="CCEECC"/>
          </w:tcPr>
          <w:p>
            <w:pPr>
              <w:spacing w:after="0"/>
              <w:rPr>
                <w:sz w:val="19"/>
                <w:szCs w:val="19"/>
                <w:color w:val="auto"/>
              </w:rPr>
            </w:pPr>
          </w:p>
        </w:tc>
        <w:tc>
          <w:tcPr>
            <w:tcW w:w="11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(6,337)</w:t>
            </w:r>
          </w:p>
        </w:tc>
        <w:tc>
          <w:tcPr>
            <w:tcW w:w="22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1,987,894</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7" w:name="page28"/>
    <w:bookmarkEnd w:id="27"/>
    <w:p>
      <w:pPr>
        <w:ind w:left="338" w:hanging="338"/>
        <w:spacing w:after="0"/>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February 2013, we repaid this loan in full and wrote off the remaining discount as part of the loss on extinguishment.</w:t>
      </w:r>
    </w:p>
    <w:p>
      <w:pPr>
        <w:spacing w:after="0" w:line="184" w:lineRule="exact"/>
        <w:rPr>
          <w:rFonts w:ascii="Arial" w:cs="Arial" w:eastAsia="Arial" w:hAnsi="Arial"/>
          <w:sz w:val="18"/>
          <w:szCs w:val="18"/>
          <w:color w:val="auto"/>
        </w:rPr>
      </w:pPr>
    </w:p>
    <w:p>
      <w:pPr>
        <w:ind w:left="338" w:hanging="338"/>
        <w:spacing w:after="0" w:line="289" w:lineRule="auto"/>
        <w:tabs>
          <w:tab w:leader="none" w:pos="338"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In addition, we are required to use the net cash proceeds (as defined) from any asset sale (as defined) to repay loan principal. Generally, this provision applies to non-operating sales of assets, such as the HLSS Transactions, and generally, net cash proceeds represent the proceeds from the sale of the assets, net of the repayment of any debt secured by a lien on the assets sold.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1-Month LIBOR floor of 1.25%.</w:t>
      </w:r>
    </w:p>
    <w:p>
      <w:pPr>
        <w:spacing w:after="0" w:line="139" w:lineRule="exact"/>
        <w:rPr>
          <w:rFonts w:ascii="Arial" w:cs="Arial" w:eastAsia="Arial" w:hAnsi="Arial"/>
          <w:sz w:val="16"/>
          <w:szCs w:val="16"/>
          <w:color w:val="auto"/>
        </w:rPr>
      </w:pPr>
    </w:p>
    <w:p>
      <w:pPr>
        <w:ind w:left="338" w:hanging="338"/>
        <w:spacing w:after="0"/>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repaid this loan in full in February 2013.</w:t>
      </w:r>
    </w:p>
    <w:p>
      <w:pPr>
        <w:spacing w:after="0" w:line="184" w:lineRule="exact"/>
        <w:rPr>
          <w:rFonts w:ascii="Arial" w:cs="Arial" w:eastAsia="Arial" w:hAnsi="Arial"/>
          <w:sz w:val="18"/>
          <w:szCs w:val="18"/>
          <w:color w:val="auto"/>
        </w:rPr>
      </w:pPr>
    </w:p>
    <w:p>
      <w:pPr>
        <w:ind w:left="338" w:right="60" w:hanging="338"/>
        <w:spacing w:after="0" w:line="297" w:lineRule="auto"/>
        <w:tabs>
          <w:tab w:leader="none" w:pos="33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part of the HLSS Transactions, we transfer certain Rights to MSRs to HLSS. Because we have not yet transferred legal title to the MSRs, we account for these transfers as financings with the proceeds from the sale of the Rights to MSRs recorded as a financing liability. The financing liability is amortized using the interest method with the servicing income that is remitted to HLSS representing payments of principal and interest. The liability has no contractual maturity but is amortized over the estimated life of transferred Rights to MSRs. The balance of the liability is reduced each month based on the change in the estimated fair value of the transferred rights to MSRs. See Note 4 – Asset Sales and Financing for additional information.</w:t>
      </w:r>
    </w:p>
    <w:p>
      <w:pPr>
        <w:spacing w:after="0" w:line="117" w:lineRule="exact"/>
        <w:rPr>
          <w:rFonts w:ascii="Arial" w:cs="Arial" w:eastAsia="Arial" w:hAnsi="Arial"/>
          <w:sz w:val="16"/>
          <w:szCs w:val="16"/>
          <w:color w:val="auto"/>
        </w:rPr>
      </w:pPr>
    </w:p>
    <w:p>
      <w:pPr>
        <w:ind w:left="338" w:right="480" w:hanging="338"/>
        <w:spacing w:after="0" w:line="259" w:lineRule="auto"/>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sold MSRs for certain loans to an unrelated third party in December 2012; however, we are required to repurchase the MSRs for any loans that cannot be refinanced by the purchaser under the federal government’s Home Affordable Refinance Program (HARP). As a result, the sale is being accounted for as a financing. The financing liability is being amortized using the interest method with the servicing income that is remitted to the purchaser representing payments of principal and interest.</w:t>
      </w:r>
    </w:p>
    <w:p>
      <w:pPr>
        <w:spacing w:after="0" w:line="159" w:lineRule="exact"/>
        <w:rPr>
          <w:rFonts w:ascii="Arial" w:cs="Arial" w:eastAsia="Arial" w:hAnsi="Arial"/>
          <w:sz w:val="18"/>
          <w:szCs w:val="18"/>
          <w:color w:val="auto"/>
        </w:rPr>
      </w:pPr>
    </w:p>
    <w:p>
      <w:pPr>
        <w:ind w:left="338" w:hanging="338"/>
        <w:spacing w:after="0"/>
        <w:tabs>
          <w:tab w:leader="none" w:pos="338"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Prepayments of the balance on this note may be required if the borrowing base, as defined, falls below the amount of the note outstanding.</w:t>
      </w:r>
    </w:p>
    <w:p>
      <w:pPr>
        <w:spacing w:after="0" w:line="196" w:lineRule="exact"/>
        <w:rPr>
          <w:rFonts w:ascii="Arial" w:cs="Arial" w:eastAsia="Arial" w:hAnsi="Arial"/>
          <w:sz w:val="17"/>
          <w:szCs w:val="17"/>
          <w:color w:val="auto"/>
        </w:rPr>
      </w:pPr>
    </w:p>
    <w:p>
      <w:pPr>
        <w:ind w:left="338" w:hanging="338"/>
        <w:spacing w:after="0"/>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19, 2013, we extended the Master Repurchase Agreement to March 18, 2014.</w:t>
      </w:r>
    </w:p>
    <w:p>
      <w:pPr>
        <w:spacing w:after="0" w:line="184" w:lineRule="exact"/>
        <w:rPr>
          <w:rFonts w:ascii="Arial" w:cs="Arial" w:eastAsia="Arial" w:hAnsi="Arial"/>
          <w:sz w:val="18"/>
          <w:szCs w:val="18"/>
          <w:color w:val="auto"/>
        </w:rPr>
      </w:pPr>
    </w:p>
    <w:p>
      <w:pPr>
        <w:ind w:left="338" w:right="180" w:hanging="338"/>
        <w:spacing w:after="0" w:line="257" w:lineRule="auto"/>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up to $100.0 million at the discretion of the lender. The participation agreement allows the lender to acquire a 100% beneficial interest in the underlying mortgage loans. However, the transaction does not qualify for sales accounting treatment as is, therefore, accounted for as a financing. The lender earns the stated interest rate of the underlying mortgage loans while the loans are financed under the participation agreement. In April 2013, we extended the participation agreement maturity date to May 31, 2014.</w:t>
      </w:r>
    </w:p>
    <w:p>
      <w:pPr>
        <w:spacing w:after="0" w:line="161" w:lineRule="exact"/>
        <w:rPr>
          <w:rFonts w:ascii="Arial" w:cs="Arial" w:eastAsia="Arial" w:hAnsi="Arial"/>
          <w:sz w:val="18"/>
          <w:szCs w:val="18"/>
          <w:color w:val="auto"/>
        </w:rPr>
      </w:pPr>
    </w:p>
    <w:p>
      <w:pPr>
        <w:ind w:left="338" w:hanging="338"/>
        <w:spacing w:after="0"/>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25, 2013, we extended the Master Repurchase Agreement maturity date to May 3, 2013.</w:t>
      </w:r>
    </w:p>
    <w:p>
      <w:pPr>
        <w:spacing w:after="0" w:line="184" w:lineRule="exact"/>
        <w:rPr>
          <w:rFonts w:ascii="Arial" w:cs="Arial" w:eastAsia="Arial" w:hAnsi="Arial"/>
          <w:sz w:val="18"/>
          <w:szCs w:val="18"/>
          <w:color w:val="auto"/>
        </w:rPr>
      </w:pPr>
    </w:p>
    <w:p>
      <w:pPr>
        <w:ind w:left="338" w:right="720" w:hanging="338"/>
        <w:spacing w:after="0" w:line="277" w:lineRule="auto"/>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has no stated credit limit and lending is determined for each transaction based on the acceptability of the securities presented as collateral.</w:t>
      </w:r>
    </w:p>
    <w:p>
      <w:pPr>
        <w:spacing w:after="0" w:line="170"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78"/>
          </w:cols>
          <w:pgMar w:left="262" w:top="665"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NOTE 16  OTHER LIABILITIES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02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4"/>
          </w:tcPr>
          <w:p>
            <w:pPr>
              <w:ind w:left="2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020" w:type="dxa"/>
            <w:vAlign w:val="bottom"/>
            <w:tcBorders>
              <w:bottom w:val="single" w:sz="8" w:color="CCEECC"/>
            </w:tcBorders>
          </w:tcPr>
          <w:p>
            <w:pPr>
              <w:spacing w:after="0"/>
              <w:rPr>
                <w:sz w:val="20"/>
                <w:szCs w:val="20"/>
                <w:color w:val="auto"/>
              </w:rPr>
            </w:pPr>
          </w:p>
        </w:tc>
        <w:tc>
          <w:tcPr>
            <w:tcW w:w="180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7020" w:type="dxa"/>
            <w:vAlign w:val="bottom"/>
            <w:shd w:val="clear" w:color="auto" w:fill="CCEECC"/>
          </w:tcPr>
          <w:p>
            <w:pPr>
              <w:spacing w:after="0"/>
              <w:rPr>
                <w:sz w:val="20"/>
                <w:szCs w:val="20"/>
                <w:color w:val="auto"/>
              </w:rPr>
            </w:pPr>
            <w:r>
              <w:rPr>
                <w:rFonts w:ascii="Arial" w:cs="Arial" w:eastAsia="Arial" w:hAnsi="Arial"/>
                <w:sz w:val="18"/>
                <w:szCs w:val="18"/>
                <w:color w:val="auto"/>
              </w:rPr>
              <w:t>Accrued expenses (1)</w:t>
            </w:r>
          </w:p>
        </w:tc>
        <w:tc>
          <w:tcPr>
            <w:tcW w:w="180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174,645</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106,376</w:t>
            </w:r>
          </w:p>
        </w:tc>
        <w:tc>
          <w:tcPr>
            <w:tcW w:w="100" w:type="dxa"/>
            <w:vAlign w:val="bottom"/>
            <w:shd w:val="clear" w:color="auto" w:fill="CCEE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Amount due seller for purchase price adjustments – ResCap Acquisition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CC"/>
          </w:tcPr>
          <w:p>
            <w:pPr>
              <w:spacing w:after="0"/>
              <w:rPr>
                <w:sz w:val="20"/>
                <w:szCs w:val="20"/>
                <w:color w:val="auto"/>
              </w:rPr>
            </w:pPr>
            <w:r>
              <w:rPr>
                <w:rFonts w:ascii="Arial" w:cs="Arial" w:eastAsia="Arial" w:hAnsi="Arial"/>
                <w:sz w:val="18"/>
                <w:szCs w:val="18"/>
                <w:color w:val="auto"/>
              </w:rPr>
              <w:t>Due to related parties (2)</w:t>
            </w:r>
          </w:p>
        </w:tc>
        <w:tc>
          <w:tcPr>
            <w:tcW w:w="1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47,884</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45,034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33,225</w:t>
            </w:r>
          </w:p>
        </w:tc>
      </w:tr>
      <w:tr>
        <w:trPr>
          <w:trHeight w:val="216"/>
        </w:trPr>
        <w:tc>
          <w:tcPr>
            <w:tcW w:w="7020" w:type="dxa"/>
            <w:vAlign w:val="bottom"/>
            <w:shd w:val="clear" w:color="auto" w:fill="CCEECC"/>
          </w:tcPr>
          <w:p>
            <w:pPr>
              <w:spacing w:after="0"/>
              <w:rPr>
                <w:sz w:val="20"/>
                <w:szCs w:val="20"/>
                <w:color w:val="auto"/>
              </w:rPr>
            </w:pPr>
            <w:r>
              <w:rPr>
                <w:rFonts w:ascii="Arial" w:cs="Arial" w:eastAsia="Arial" w:hAnsi="Arial"/>
                <w:sz w:val="18"/>
                <w:szCs w:val="18"/>
                <w:color w:val="auto"/>
              </w:rPr>
              <w:t>Payable to servicing and subservicing investors (3)</w:t>
            </w:r>
          </w:p>
        </w:tc>
        <w:tc>
          <w:tcPr>
            <w:tcW w:w="1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24,023</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9,973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22,338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22,702</w:t>
            </w:r>
          </w:p>
        </w:tc>
      </w:tr>
      <w:tr>
        <w:trPr>
          <w:trHeight w:val="216"/>
        </w:trPr>
        <w:tc>
          <w:tcPr>
            <w:tcW w:w="7020" w:type="dxa"/>
            <w:vAlign w:val="bottom"/>
            <w:shd w:val="clear" w:color="auto" w:fill="CCEECC"/>
          </w:tcPr>
          <w:p>
            <w:pPr>
              <w:spacing w:after="0"/>
              <w:rPr>
                <w:sz w:val="20"/>
                <w:szCs w:val="20"/>
                <w:color w:val="auto"/>
              </w:rPr>
            </w:pPr>
            <w:r>
              <w:rPr>
                <w:rFonts w:ascii="Arial" w:cs="Arial" w:eastAsia="Arial" w:hAnsi="Arial"/>
                <w:sz w:val="18"/>
                <w:szCs w:val="18"/>
                <w:color w:val="auto"/>
              </w:rPr>
              <w:t>Derivatives, at fair value (4)</w:t>
            </w:r>
          </w:p>
        </w:tc>
        <w:tc>
          <w:tcPr>
            <w:tcW w:w="1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21,863</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18,658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Servicing liabilities (5)</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9,830</w:t>
            </w:r>
          </w:p>
        </w:tc>
      </w:tr>
      <w:tr>
        <w:trPr>
          <w:trHeight w:val="216"/>
        </w:trPr>
        <w:tc>
          <w:tcPr>
            <w:tcW w:w="7020" w:type="dxa"/>
            <w:vAlign w:val="bottom"/>
            <w:shd w:val="clear" w:color="auto" w:fill="CCEECC"/>
          </w:tcPr>
          <w:p>
            <w:pPr>
              <w:spacing w:after="0"/>
              <w:rPr>
                <w:sz w:val="20"/>
                <w:szCs w:val="20"/>
                <w:color w:val="auto"/>
              </w:rPr>
            </w:pPr>
            <w:r>
              <w:rPr>
                <w:rFonts w:ascii="Arial" w:cs="Arial" w:eastAsia="Arial" w:hAnsi="Arial"/>
                <w:sz w:val="18"/>
                <w:szCs w:val="18"/>
                <w:color w:val="auto"/>
              </w:rPr>
              <w:t>Accrued interest payable</w:t>
            </w:r>
          </w:p>
        </w:tc>
        <w:tc>
          <w:tcPr>
            <w:tcW w:w="1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6,978</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5,410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57,697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26,456</w:t>
            </w:r>
          </w:p>
        </w:tc>
      </w:tr>
      <w:tr>
        <w:trPr>
          <w:trHeight w:val="223"/>
        </w:trPr>
        <w:tc>
          <w:tcPr>
            <w:tcW w:w="7020" w:type="dxa"/>
            <w:vAlign w:val="bottom"/>
            <w:tcBorders>
              <w:top w:val="single" w:sz="8" w:color="CCEECC"/>
              <w:bottom w:val="single" w:sz="8" w:color="CCEECC"/>
            </w:tcBorders>
            <w:shd w:val="clear" w:color="auto" w:fill="CCEECC"/>
          </w:tcPr>
          <w:p>
            <w:pPr>
              <w:spacing w:after="0"/>
              <w:rPr>
                <w:sz w:val="19"/>
                <w:szCs w:val="19"/>
                <w:color w:val="auto"/>
              </w:rPr>
            </w:pPr>
          </w:p>
        </w:tc>
        <w:tc>
          <w:tcPr>
            <w:tcW w:w="18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471,007</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277,664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7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$59.3 million of accrued expenses attributable to the ResCap Acquisition including $49.0 million of accruals for compensatory fees for foreclosures that may ultimately exceed investor timelines.</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22 – Related Party Transactions for additional information.</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18 – Derivative Financial Instruments for additional information.</w:t>
      </w:r>
    </w:p>
    <w:p>
      <w:pPr>
        <w:spacing w:after="0" w:line="184"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March 31, 2013 and 2012, amortization of servicing liabilities exceeded the amount of charges we recognized to increase our servicing liability obligations by $0.1 million and $.0.9 million, respectively. Amortization of mortgage servicing rights is reported net of this amount in the unaudited Consolidated Statement of Operations.</w:t>
      </w:r>
    </w:p>
    <w:p>
      <w:pPr>
        <w:spacing w:after="0" w:line="150"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17</w:t>
        <w:tab/>
        <w:t>MEZZANINE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December 27, 2012, we issued 162,000 shares of Series A Perpetual Convertible Preferred Stock (the Preferred Shares) having a par value of $0.01 per share and paying dividends at a rate of 3.75% on the liquidation preference of $1,000 per share. The dividends are payable quarterly at the end of each calendar quarter.</w:t>
      </w:r>
    </w:p>
    <w:p>
      <w:pPr>
        <w:spacing w:after="0" w:line="15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Preferred Shares are accounted for as equity and are classified as “mezzanine” equity in the unaudited Consolidated Balance Sheets. The conversion option of the Preferred Shares represents a Beneficial Conversion Feature (BCF) with an intrinsic value of $8.7 million which we accounted for as a discount on the Preferred Shares with an offsetting increase in additional paid in capital upon issuance. The BCF will be amortizing through the second anniversary of the issue date, the first date at which we can redeem the Preferred Shares.</w:t>
      </w:r>
    </w:p>
    <w:p>
      <w:pPr>
        <w:spacing w:after="0" w:line="146"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We amortize the BCF discount on the Preferred Shares as a deemed dividend with an offsetting reduction in retained earnings. As of March 31, 2013, we have accrued the mandatory and cumulative dividends payable of $1.6 million.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The carrying value of our Preferred Shares reflects the following: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CC"/>
          </w:tcPr>
          <w:p>
            <w:pPr>
              <w:spacing w:after="0"/>
              <w:rPr>
                <w:sz w:val="20"/>
                <w:szCs w:val="20"/>
                <w:color w:val="auto"/>
              </w:rPr>
            </w:pPr>
            <w:r>
              <w:rPr>
                <w:rFonts w:ascii="Arial" w:cs="Arial" w:eastAsia="Arial" w:hAnsi="Arial"/>
                <w:sz w:val="18"/>
                <w:szCs w:val="18"/>
                <w:color w:val="auto"/>
              </w:rPr>
              <w:t>Initial issuance price on December 27, 2012</w:t>
            </w:r>
          </w:p>
        </w:tc>
        <w:tc>
          <w:tcPr>
            <w:tcW w:w="260" w:type="dxa"/>
            <w:vAlign w:val="bottom"/>
            <w:gridSpan w:val="2"/>
            <w:shd w:val="clear" w:color="auto" w:fill="CCEECC"/>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162,000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Discount for beneficial conversion feature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80" w:type="dxa"/>
            <w:vAlign w:val="bottom"/>
            <w:shd w:val="clear" w:color="auto" w:fill="CCEECC"/>
          </w:tcPr>
          <w:p>
            <w:pPr>
              <w:spacing w:after="0"/>
              <w:rPr>
                <w:sz w:val="20"/>
                <w:szCs w:val="20"/>
                <w:color w:val="auto"/>
              </w:rPr>
            </w:pPr>
            <w:r>
              <w:rPr>
                <w:rFonts w:ascii="Arial" w:cs="Arial" w:eastAsia="Arial" w:hAnsi="Arial"/>
                <w:sz w:val="18"/>
                <w:szCs w:val="18"/>
                <w:color w:val="auto"/>
              </w:rPr>
              <w:t>Accretion of BCF discount (Deemed dividend)</w:t>
            </w:r>
          </w:p>
        </w:tc>
        <w:tc>
          <w:tcPr>
            <w:tcW w:w="2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7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Carrying value at December 31, 2012</w:t>
            </w: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80" w:type="dxa"/>
            <w:vAlign w:val="bottom"/>
            <w:shd w:val="clear" w:color="auto" w:fill="CCEECC"/>
          </w:tcPr>
          <w:p>
            <w:pPr>
              <w:spacing w:after="0"/>
              <w:rPr>
                <w:sz w:val="20"/>
                <w:szCs w:val="20"/>
                <w:color w:val="auto"/>
              </w:rPr>
            </w:pPr>
            <w:r>
              <w:rPr>
                <w:rFonts w:ascii="Arial" w:cs="Arial" w:eastAsia="Arial" w:hAnsi="Arial"/>
                <w:sz w:val="18"/>
                <w:szCs w:val="18"/>
                <w:color w:val="auto"/>
              </w:rPr>
              <w:t>Accretion of discount (Deemed dividend)</w:t>
            </w:r>
          </w:p>
        </w:tc>
        <w:tc>
          <w:tcPr>
            <w:tcW w:w="2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7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Carrying value at March 31, 2013</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18</w:t>
        <w:tab/>
        <w:t>DERIVATIVE FINANCIAL INSTRUMENTS AND HEDGING ACTIVITIES</w:t>
      </w:r>
    </w:p>
    <w:p>
      <w:pPr>
        <w:spacing w:after="0" w:line="189"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7"/>
          <w:szCs w:val="17"/>
          <w:color w:val="auto"/>
        </w:rPr>
        <w:t>The following table summarizes the changes in the notional balance of our holdings of derivatives during the three months ended March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Forward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IRLCs</w:t>
            </w: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Futures</w:t>
            </w:r>
          </w:p>
        </w:tc>
        <w:tc>
          <w:tcPr>
            <w:tcW w:w="20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MBS Trades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Rate Caps</w:t>
            </w:r>
          </w:p>
        </w:tc>
        <w:tc>
          <w:tcPr>
            <w:tcW w:w="20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Rate 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1,112,519</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109,000</w:t>
            </w:r>
          </w:p>
        </w:tc>
        <w:tc>
          <w:tcPr>
            <w:tcW w:w="2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1,638,979</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1,025,000</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1,495,955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1,468,218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4,479,506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(227,171)</w:t>
            </w: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(12,000)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(1,651,514)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(2,940,387)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(232,174)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Terminations</w:t>
            </w:r>
          </w:p>
        </w:tc>
        <w:tc>
          <w:tcPr>
            <w:tcW w:w="120" w:type="dxa"/>
            <w:vAlign w:val="bottom"/>
            <w:shd w:val="clear" w:color="auto" w:fill="CCEECC"/>
          </w:tcPr>
          <w:p>
            <w:pPr>
              <w:spacing w:after="0"/>
              <w:rPr>
                <w:sz w:val="19"/>
                <w:szCs w:val="19"/>
                <w:color w:val="auto"/>
              </w:rPr>
            </w:pPr>
          </w:p>
        </w:tc>
        <w:tc>
          <w:tcPr>
            <w:tcW w:w="138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(84,778)</w:t>
            </w:r>
          </w:p>
        </w:tc>
        <w:tc>
          <w:tcPr>
            <w:tcW w:w="1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(194,000)</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(2,471,538)</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Balance at March 31,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617,274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Fair value of net derivative assets (liabilities) at: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March 31,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4,652</w:t>
            </w: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December 31, 2012</w:t>
            </w: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5,781</w:t>
            </w:r>
          </w:p>
        </w:tc>
        <w:tc>
          <w:tcPr>
            <w:tcW w:w="46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(1,258</w:t>
            </w:r>
          </w:p>
        </w:tc>
        <w:tc>
          <w:tcPr>
            <w:tcW w:w="280" w:type="dxa"/>
            <w:vAlign w:val="bottom"/>
            <w:tcBorders>
              <w:top w:val="single" w:sz="8" w:color="CCEECC"/>
              <w:bottom w:val="single" w:sz="8" w:color="CCEECC"/>
            </w:tcBorders>
            <w:shd w:val="clear" w:color="auto" w:fill="CCEECC"/>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(1,719</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168</w:t>
            </w:r>
          </w:p>
        </w:tc>
        <w:tc>
          <w:tcPr>
            <w:tcW w:w="24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(10,836</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3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Apr. 2013 –</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Mar. 2013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Feb. 2015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Mar. 2013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Jun. 2013</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May 2013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May 2016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May 2027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8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entered into interest rate swaps in order to hedge against the effects of changes in interest rates on our borrowings under our advance funding facilities. These interest rate swap agreements require us to pay a fixed rate and receive a variable interest rate based on one-month LIBOR. At the time that we entered into the agreements, these swaps were designated as hedges for accounting purposes. We also purchased interest rate caps to minimize future interest rate exposure from increases in one-month LIBOR interest rates, as required by the certain of our advance financing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9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Forward trades are primarily used to fix the forward sales price that will be realized upon the sale of mortgage loans into the secondary market.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IRLCs</w:t>
      </w:r>
    </w:p>
    <w:p>
      <w:pPr>
        <w:spacing w:after="0" w:line="18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applicant, whereby the interest rate is set prior to funding. The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derivatives, including forward contracts. We enter into forward contracts with respect to fixed rate loan commitments.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MSRs which we measure at fair value are subject to interest rate risk as the mortgage loans underlying the MSRs permit the borrowers to prepay the loans. Therefore, the fair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 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MSR Purchase</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March 2013, we entered into an interest rate swap to hedge the impact on cash flows of changes in the purchase price to be paid for MSRs acquired from Ally Bank. This purchase was forecasted to occur in stages with the purchase price subject to adjustment based on changes in the 10-year swap rate between the date of the MSR purchase agreement and the date of each closing. We entered into an interest rate swap with a notional amount sufficient to yield changes in the fair value of the interest rate swap in response to changes in the swap rate that were essentially equal to and offsetting to changes in the purchase price of the MSRs. We designated the swap as a hedge for accounting purposes. We completed the transaction in April and terminated the swap agreement at the same time. See Note 25 – Subsequent Events for additional information regarding this transaction.</w:t>
      </w:r>
    </w:p>
    <w:p>
      <w:pPr>
        <w:spacing w:after="0" w:line="15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summarizes our use of derivatives at March 31, 2013 and the gains (losses) on those derivatives for the three months then ended. The table also indicates whether or not each derivative was designated as a hedge for accounting purposes at 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Expiration</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9"/>
              </w:rPr>
              <w:t>Gains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4"/>
          </w:tcPr>
          <w:p>
            <w:pPr>
              <w:ind w:left="1680"/>
              <w:spacing w:after="0"/>
              <w:rPr>
                <w:sz w:val="20"/>
                <w:szCs w:val="20"/>
                <w:color w:val="auto"/>
              </w:rPr>
            </w:pPr>
            <w:r>
              <w:rPr>
                <w:rFonts w:ascii="Arial" w:cs="Arial" w:eastAsia="Arial" w:hAnsi="Arial"/>
                <w:sz w:val="18"/>
                <w:szCs w:val="18"/>
                <w:b w:val="1"/>
                <w:bCs w:val="1"/>
                <w:color w:val="auto"/>
              </w:rPr>
              <w:t>Purpose</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6"/>
              </w:rPr>
              <w:t>(Losses)</w:t>
            </w: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Caption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gridSpan w:val="3"/>
            <w:shd w:val="clear" w:color="auto" w:fill="CCEECC"/>
          </w:tcPr>
          <w:p>
            <w:pPr>
              <w:spacing w:after="0"/>
              <w:rPr>
                <w:sz w:val="20"/>
                <w:szCs w:val="20"/>
                <w:color w:val="auto"/>
              </w:rPr>
            </w:pPr>
            <w:r>
              <w:rPr>
                <w:rFonts w:ascii="Arial" w:cs="Arial" w:eastAsia="Arial" w:hAnsi="Arial"/>
                <w:sz w:val="18"/>
                <w:szCs w:val="18"/>
                <w:b w:val="1"/>
                <w:bCs w:val="1"/>
                <w:i w:val="1"/>
                <w:iCs w:val="1"/>
                <w:color w:val="auto"/>
              </w:rPr>
              <w:t>Interest rate risk of borrowings</w:t>
            </w:r>
          </w:p>
        </w:tc>
        <w:tc>
          <w:tcPr>
            <w:tcW w:w="36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4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4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auto"/>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8"/>
                <w:szCs w:val="18"/>
                <w:b w:val="1"/>
                <w:bCs w:val="1"/>
                <w:color w:val="auto"/>
              </w:rPr>
              <w:t>Interest rate swaps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4"/>
            <w:shd w:val="clear" w:color="auto" w:fill="CCEECC"/>
          </w:tcPr>
          <w:p>
            <w:pPr>
              <w:spacing w:after="0" w:line="176" w:lineRule="exact"/>
              <w:rPr>
                <w:sz w:val="20"/>
                <w:szCs w:val="20"/>
                <w:color w:val="auto"/>
              </w:rPr>
            </w:pPr>
            <w:r>
              <w:rPr>
                <w:rFonts w:ascii="Arial" w:cs="Arial" w:eastAsia="Arial" w:hAnsi="Arial"/>
                <w:sz w:val="18"/>
                <w:szCs w:val="18"/>
                <w:color w:val="auto"/>
              </w:rPr>
              <w:t>Not designated as qualifying hedges:</w:t>
            </w:r>
          </w:p>
        </w:tc>
        <w:tc>
          <w:tcPr>
            <w:tcW w:w="1040" w:type="dxa"/>
            <w:vAlign w:val="bottom"/>
            <w:shd w:val="clear" w:color="auto" w:fill="CCEECC"/>
          </w:tcPr>
          <w:p>
            <w:pPr>
              <w:spacing w:after="0"/>
              <w:rPr>
                <w:sz w:val="15"/>
                <w:szCs w:val="15"/>
                <w:color w:val="auto"/>
              </w:rPr>
            </w:pPr>
          </w:p>
        </w:tc>
        <w:tc>
          <w:tcPr>
            <w:tcW w:w="46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900" w:type="dxa"/>
            <w:vAlign w:val="bottom"/>
            <w:shd w:val="clear" w:color="auto" w:fill="CCEECC"/>
          </w:tcPr>
          <w:p>
            <w:pPr>
              <w:spacing w:after="0"/>
              <w:rPr>
                <w:sz w:val="15"/>
                <w:szCs w:val="15"/>
                <w:color w:val="auto"/>
              </w:rPr>
            </w:pPr>
          </w:p>
        </w:tc>
        <w:tc>
          <w:tcPr>
            <w:tcW w:w="4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920" w:type="dxa"/>
            <w:vAlign w:val="bottom"/>
            <w:shd w:val="clear" w:color="auto" w:fill="CCEECC"/>
          </w:tcPr>
          <w:p>
            <w:pPr>
              <w:spacing w:after="0"/>
              <w:rPr>
                <w:sz w:val="15"/>
                <w:szCs w:val="15"/>
                <w:color w:val="auto"/>
              </w:rPr>
            </w:pPr>
          </w:p>
        </w:tc>
        <w:tc>
          <w:tcPr>
            <w:tcW w:w="44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440" w:type="dxa"/>
            <w:vAlign w:val="bottom"/>
            <w:shd w:val="clear" w:color="auto" w:fill="CCEECC"/>
          </w:tcPr>
          <w:p>
            <w:pPr>
              <w:spacing w:after="0"/>
              <w:rPr>
                <w:sz w:val="15"/>
                <w:szCs w:val="15"/>
                <w:color w:val="auto"/>
              </w:rPr>
            </w:pPr>
          </w:p>
        </w:tc>
        <w:tc>
          <w:tcPr>
            <w:tcW w:w="1140" w:type="dxa"/>
            <w:vAlign w:val="bottom"/>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shd w:val="clear" w:color="auto" w:fill="CCEECC"/>
          </w:tcPr>
          <w:p>
            <w:pPr>
              <w:spacing w:after="0" w:line="20" w:lineRule="exact"/>
              <w:rPr>
                <w:sz w:val="1"/>
                <w:szCs w:val="1"/>
                <w:color w:val="auto"/>
              </w:rPr>
            </w:pPr>
          </w:p>
        </w:tc>
        <w:tc>
          <w:tcPr>
            <w:tcW w:w="260" w:type="dxa"/>
            <w:vAlign w:val="bottom"/>
            <w:tcBorders>
              <w:top w:val="single" w:sz="8" w:color="auto"/>
            </w:tcBorders>
            <w:shd w:val="clear" w:color="auto" w:fill="CCEECC"/>
          </w:tcPr>
          <w:p>
            <w:pPr>
              <w:spacing w:after="0" w:line="20" w:lineRule="exact"/>
              <w:rPr>
                <w:sz w:val="1"/>
                <w:szCs w:val="1"/>
                <w:color w:val="auto"/>
              </w:rPr>
            </w:pPr>
          </w:p>
        </w:tc>
        <w:tc>
          <w:tcPr>
            <w:tcW w:w="134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104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90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86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114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gridSpan w:val="4"/>
          </w:tcPr>
          <w:p>
            <w:pPr>
              <w:spacing w:after="0" w:line="201" w:lineRule="exact"/>
              <w:rPr>
                <w:sz w:val="20"/>
                <w:szCs w:val="20"/>
                <w:color w:val="auto"/>
              </w:rPr>
            </w:pPr>
            <w:r>
              <w:rPr>
                <w:rFonts w:ascii="Arial" w:cs="Arial" w:eastAsia="Arial" w:hAnsi="Arial"/>
                <w:sz w:val="18"/>
                <w:szCs w:val="18"/>
                <w:color w:val="auto"/>
              </w:rPr>
              <w:t>Hedge the effects of a change in 1ML on borrowing</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4"/>
          </w:tcPr>
          <w:p>
            <w:pPr>
              <w:ind w:left="160"/>
              <w:spacing w:after="0"/>
              <w:rPr>
                <w:sz w:val="20"/>
                <w:szCs w:val="20"/>
                <w:color w:val="auto"/>
              </w:rPr>
            </w:pPr>
            <w:r>
              <w:rPr>
                <w:rFonts w:ascii="Arial" w:cs="Arial" w:eastAsia="Arial" w:hAnsi="Arial"/>
                <w:sz w:val="18"/>
                <w:szCs w:val="18"/>
                <w:color w:val="auto"/>
              </w:rPr>
              <w:t>under an advance funding facility (2)</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1,143</w:t>
            </w:r>
          </w:p>
        </w:tc>
        <w:tc>
          <w:tcPr>
            <w:tcW w:w="114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4"/>
            <w:shd w:val="clear" w:color="auto" w:fill="CCEECC"/>
          </w:tcPr>
          <w:p>
            <w:pPr>
              <w:spacing w:after="0" w:line="201" w:lineRule="exact"/>
              <w:rPr>
                <w:sz w:val="20"/>
                <w:szCs w:val="20"/>
                <w:color w:val="auto"/>
              </w:rPr>
            </w:pPr>
            <w:r>
              <w:rPr>
                <w:rFonts w:ascii="Arial" w:cs="Arial" w:eastAsia="Arial" w:hAnsi="Arial"/>
                <w:sz w:val="18"/>
                <w:szCs w:val="18"/>
                <w:color w:val="auto"/>
              </w:rPr>
              <w:t>Hedge the effects of a change in the lender’s CP rate</w:t>
            </w:r>
          </w:p>
        </w:tc>
        <w:tc>
          <w:tcPr>
            <w:tcW w:w="104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and 1ML on borrowing under an advance funding</w:t>
            </w:r>
          </w:p>
        </w:tc>
        <w:tc>
          <w:tcPr>
            <w:tcW w:w="10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facility (3)</w:t>
            </w:r>
          </w:p>
        </w:tc>
        <w:tc>
          <w:tcPr>
            <w:tcW w:w="104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rPr>
              <w:t>2013</w:t>
            </w:r>
          </w:p>
        </w:tc>
        <w:tc>
          <w:tcPr>
            <w:tcW w:w="460" w:type="dxa"/>
            <w:vAlign w:val="bottom"/>
            <w:shd w:val="clear" w:color="auto" w:fill="CCEECC"/>
          </w:tcPr>
          <w:p>
            <w:pPr>
              <w:spacing w:after="0"/>
              <w:rPr>
                <w:sz w:val="21"/>
                <w:szCs w:val="21"/>
                <w:color w:val="auto"/>
              </w:rPr>
            </w:pPr>
          </w:p>
        </w:tc>
        <w:tc>
          <w:tcPr>
            <w:tcW w:w="140" w:type="dxa"/>
            <w:vAlign w:val="bottom"/>
            <w:shd w:val="clear" w:color="auto" w:fill="CCEECC"/>
          </w:tcPr>
          <w:p>
            <w:pPr>
              <w:spacing w:after="0"/>
              <w:rPr>
                <w:sz w:val="21"/>
                <w:szCs w:val="21"/>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297,180</w:t>
            </w:r>
          </w:p>
        </w:tc>
        <w:tc>
          <w:tcPr>
            <w:tcW w:w="46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136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(1,917)</w:t>
            </w:r>
          </w:p>
        </w:tc>
        <w:tc>
          <w:tcPr>
            <w:tcW w:w="160" w:type="dxa"/>
            <w:vAlign w:val="bottom"/>
            <w:shd w:val="clear" w:color="auto" w:fill="CCEECC"/>
          </w:tcPr>
          <w:p>
            <w:pPr>
              <w:spacing w:after="0"/>
              <w:rPr>
                <w:sz w:val="21"/>
                <w:szCs w:val="21"/>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1,028</w:t>
            </w:r>
          </w:p>
        </w:tc>
        <w:tc>
          <w:tcPr>
            <w:tcW w:w="1140" w:type="dxa"/>
            <w:vAlign w:val="bottom"/>
            <w:shd w:val="clear" w:color="auto" w:fill="CCEECC"/>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 not designated as hedges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547,180</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color w:val="auto"/>
                <w:w w:val="88"/>
              </w:rPr>
              <w:t>Designated as qualifying hedges:</w:t>
            </w:r>
          </w:p>
        </w:tc>
        <w:tc>
          <w:tcPr>
            <w:tcW w:w="1960" w:type="dxa"/>
            <w:vAlign w:val="bottom"/>
            <w:tcBorders>
              <w:bottom w:val="single" w:sz="8" w:color="CCEECC"/>
            </w:tcBorders>
            <w:gridSpan w:val="3"/>
            <w:shd w:val="clear" w:color="auto" w:fill="CCEECC"/>
          </w:tcPr>
          <w:p>
            <w:pPr>
              <w:spacing w:after="0"/>
              <w:rPr>
                <w:sz w:val="17"/>
                <w:szCs w:val="17"/>
                <w:color w:val="auto"/>
              </w:rPr>
            </w:pPr>
          </w:p>
        </w:tc>
        <w:tc>
          <w:tcPr>
            <w:tcW w:w="1040" w:type="dxa"/>
            <w:vAlign w:val="bottom"/>
            <w:tcBorders>
              <w:bottom w:val="single" w:sz="8" w:color="CCEECC"/>
            </w:tcBorders>
            <w:shd w:val="clear" w:color="auto" w:fill="CCEECC"/>
          </w:tcPr>
          <w:p>
            <w:pPr>
              <w:spacing w:after="0"/>
              <w:rPr>
                <w:sz w:val="17"/>
                <w:szCs w:val="17"/>
                <w:color w:val="auto"/>
              </w:rPr>
            </w:pPr>
          </w:p>
        </w:tc>
        <w:tc>
          <w:tcPr>
            <w:tcW w:w="46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46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44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860" w:type="dxa"/>
            <w:vAlign w:val="bottom"/>
            <w:tcBorders>
              <w:bottom w:val="single" w:sz="8" w:color="CCEECC"/>
            </w:tcBorders>
            <w:shd w:val="clear" w:color="auto" w:fill="CCEECC"/>
          </w:tcPr>
          <w:p>
            <w:pPr>
              <w:spacing w:after="0"/>
              <w:rPr>
                <w:sz w:val="17"/>
                <w:szCs w:val="17"/>
                <w:color w:val="auto"/>
              </w:rPr>
            </w:pPr>
          </w:p>
        </w:tc>
        <w:tc>
          <w:tcPr>
            <w:tcW w:w="440" w:type="dxa"/>
            <w:vAlign w:val="bottom"/>
            <w:tcBorders>
              <w:bottom w:val="single" w:sz="8" w:color="CCEECC"/>
            </w:tcBorders>
            <w:shd w:val="clear" w:color="auto" w:fill="CCEECC"/>
          </w:tcPr>
          <w:p>
            <w:pPr>
              <w:spacing w:after="0"/>
              <w:rPr>
                <w:sz w:val="17"/>
                <w:szCs w:val="17"/>
                <w:color w:val="auto"/>
              </w:rPr>
            </w:pPr>
          </w:p>
        </w:tc>
        <w:tc>
          <w:tcPr>
            <w:tcW w:w="114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4"/>
          </w:tcPr>
          <w:p>
            <w:pPr>
              <w:spacing w:after="0" w:line="201" w:lineRule="exact"/>
              <w:rPr>
                <w:sz w:val="20"/>
                <w:szCs w:val="20"/>
                <w:color w:val="auto"/>
              </w:rPr>
            </w:pPr>
            <w:r>
              <w:rPr>
                <w:rFonts w:ascii="Arial" w:cs="Arial" w:eastAsia="Arial" w:hAnsi="Arial"/>
                <w:sz w:val="18"/>
                <w:szCs w:val="18"/>
                <w:color w:val="auto"/>
              </w:rPr>
              <w:t>Hedge the effects of changes in 1ML or the lenders’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4"/>
          </w:tcPr>
          <w:p>
            <w:pPr>
              <w:ind w:left="160"/>
              <w:spacing w:after="0"/>
              <w:rPr>
                <w:sz w:val="20"/>
                <w:szCs w:val="20"/>
                <w:color w:val="auto"/>
              </w:rPr>
            </w:pPr>
            <w:r>
              <w:rPr>
                <w:rFonts w:ascii="Arial" w:cs="Arial" w:eastAsia="Arial" w:hAnsi="Arial"/>
                <w:sz w:val="18"/>
                <w:szCs w:val="18"/>
                <w:color w:val="auto"/>
              </w:rPr>
              <w:t>CP rate on advance funding facilities (4)</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201,892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(7,801)</w:t>
            </w:r>
          </w:p>
        </w:tc>
        <w:tc>
          <w:tcPr>
            <w:tcW w:w="16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4"/>
            <w:shd w:val="clear" w:color="auto" w:fill="CCEECC"/>
          </w:tcPr>
          <w:p>
            <w:pPr>
              <w:spacing w:after="0" w:line="201" w:lineRule="exact"/>
              <w:rPr>
                <w:sz w:val="20"/>
                <w:szCs w:val="20"/>
                <w:color w:val="auto"/>
              </w:rPr>
            </w:pPr>
            <w:r>
              <w:rPr>
                <w:rFonts w:ascii="Arial" w:cs="Arial" w:eastAsia="Arial" w:hAnsi="Arial"/>
                <w:sz w:val="18"/>
                <w:szCs w:val="18"/>
                <w:color w:val="auto"/>
              </w:rPr>
              <w:t>Hedge the effects of changes in 1ML or the lenders’</w:t>
            </w:r>
          </w:p>
        </w:tc>
        <w:tc>
          <w:tcPr>
            <w:tcW w:w="104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gridSpan w:val="4"/>
            <w:shd w:val="clear" w:color="auto" w:fill="CCEECC"/>
          </w:tcPr>
          <w:p>
            <w:pPr>
              <w:ind w:left="160"/>
              <w:spacing w:after="0"/>
              <w:rPr>
                <w:sz w:val="20"/>
                <w:szCs w:val="20"/>
                <w:color w:val="auto"/>
              </w:rPr>
            </w:pPr>
            <w:r>
              <w:rPr>
                <w:rFonts w:ascii="Arial" w:cs="Arial" w:eastAsia="Arial" w:hAnsi="Arial"/>
                <w:sz w:val="18"/>
                <w:szCs w:val="18"/>
                <w:color w:val="auto"/>
              </w:rPr>
              <w:t>CP rate on advance funding facilities (5)</w:t>
            </w:r>
          </w:p>
        </w:tc>
        <w:tc>
          <w:tcPr>
            <w:tcW w:w="104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CC"/>
          </w:tcPr>
          <w:p>
            <w:pPr>
              <w:spacing w:after="0"/>
              <w:rPr>
                <w:sz w:val="21"/>
                <w:szCs w:val="21"/>
                <w:color w:val="auto"/>
              </w:rPr>
            </w:pPr>
          </w:p>
        </w:tc>
        <w:tc>
          <w:tcPr>
            <w:tcW w:w="140" w:type="dxa"/>
            <w:vAlign w:val="bottom"/>
            <w:shd w:val="clear" w:color="auto" w:fill="CCEECC"/>
          </w:tcPr>
          <w:p>
            <w:pPr>
              <w:spacing w:after="0"/>
              <w:rPr>
                <w:sz w:val="21"/>
                <w:szCs w:val="21"/>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217,209</w:t>
            </w:r>
          </w:p>
        </w:tc>
        <w:tc>
          <w:tcPr>
            <w:tcW w:w="46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136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CC"/>
          </w:tcPr>
          <w:p>
            <w:pPr>
              <w:spacing w:after="0"/>
              <w:rPr>
                <w:sz w:val="21"/>
                <w:szCs w:val="21"/>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285</w:t>
            </w:r>
          </w:p>
        </w:tc>
        <w:tc>
          <w:tcPr>
            <w:tcW w:w="1140" w:type="dxa"/>
            <w:vAlign w:val="bottom"/>
            <w:shd w:val="clear" w:color="auto" w:fill="CCEECC"/>
          </w:tcPr>
          <w:p>
            <w:pPr>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4"/>
          </w:tcPr>
          <w:p>
            <w:pPr>
              <w:ind w:left="220"/>
              <w:spacing w:after="0"/>
              <w:rPr>
                <w:sz w:val="20"/>
                <w:szCs w:val="20"/>
                <w:color w:val="auto"/>
              </w:rPr>
            </w:pPr>
            <w:r>
              <w:rPr>
                <w:rFonts w:ascii="Arial" w:cs="Arial" w:eastAsia="Arial" w:hAnsi="Arial"/>
                <w:sz w:val="18"/>
                <w:szCs w:val="18"/>
                <w:b w:val="1"/>
                <w:bCs w:val="1"/>
                <w:color w:val="auto"/>
              </w:rPr>
              <w:t>Total designated as hedges</w:t>
            </w:r>
          </w:p>
        </w:tc>
        <w:tc>
          <w:tcPr>
            <w:tcW w:w="1040" w:type="dxa"/>
            <w:vAlign w:val="bottom"/>
            <w:tcBorders>
              <w:bottom w:val="single" w:sz="8" w:color="CCEECC"/>
            </w:tcBorders>
          </w:tcPr>
          <w:p>
            <w:pPr>
              <w:spacing w:after="0"/>
              <w:rPr>
                <w:sz w:val="18"/>
                <w:szCs w:val="18"/>
                <w:color w:val="auto"/>
              </w:rPr>
            </w:pPr>
          </w:p>
        </w:tc>
        <w:tc>
          <w:tcPr>
            <w:tcW w:w="460" w:type="dxa"/>
            <w:vAlign w:val="bottom"/>
            <w:tcBorders>
              <w:bottom w:val="single" w:sz="8" w:color="CCEE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419,101</w:t>
            </w:r>
          </w:p>
        </w:tc>
        <w:tc>
          <w:tcPr>
            <w:tcW w:w="46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440" w:type="dxa"/>
            <w:vAlign w:val="bottom"/>
            <w:tcBorders>
              <w:bottom w:val="single" w:sz="8" w:color="CCEECC"/>
            </w:tcBorders>
          </w:tcPr>
          <w:p>
            <w:pPr>
              <w:jc w:val="right"/>
              <w:ind w:right="3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Borders>
              <w:bottom w:val="single" w:sz="8" w:color="CCEECC"/>
            </w:tcBorders>
          </w:tcPr>
          <w:p>
            <w:pPr>
              <w:spacing w:after="0"/>
              <w:rPr>
                <w:sz w:val="18"/>
                <w:szCs w:val="18"/>
                <w:color w:val="auto"/>
              </w:rPr>
            </w:pPr>
          </w:p>
        </w:tc>
        <w:tc>
          <w:tcPr>
            <w:tcW w:w="11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4"/>
            <w:shd w:val="clear" w:color="auto" w:fill="CCEECC"/>
          </w:tcPr>
          <w:p>
            <w:pPr>
              <w:ind w:left="400"/>
              <w:spacing w:after="0"/>
              <w:rPr>
                <w:sz w:val="20"/>
                <w:szCs w:val="20"/>
                <w:color w:val="auto"/>
              </w:rPr>
            </w:pPr>
            <w:r>
              <w:rPr>
                <w:rFonts w:ascii="Arial" w:cs="Arial" w:eastAsia="Arial" w:hAnsi="Arial"/>
                <w:sz w:val="18"/>
                <w:szCs w:val="18"/>
                <w:b w:val="1"/>
                <w:bCs w:val="1"/>
                <w:color w:val="auto"/>
              </w:rPr>
              <w:t>Total swaps</w:t>
            </w:r>
          </w:p>
        </w:tc>
        <w:tc>
          <w:tcPr>
            <w:tcW w:w="10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40" w:type="dxa"/>
            <w:vAlign w:val="bottom"/>
            <w:tcBorders>
              <w:bottom w:val="single" w:sz="8" w:color="auto"/>
            </w:tcBorders>
            <w:shd w:val="clear" w:color="auto" w:fill="CCEECC"/>
          </w:tcPr>
          <w:p>
            <w:pPr>
              <w:spacing w:after="0"/>
              <w:rPr>
                <w:sz w:val="18"/>
                <w:szCs w:val="18"/>
                <w:color w:val="auto"/>
              </w:rPr>
            </w:pP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966,281</w:t>
            </w:r>
          </w:p>
        </w:tc>
        <w:tc>
          <w:tcPr>
            <w:tcW w:w="460" w:type="dxa"/>
            <w:vAlign w:val="bottom"/>
            <w:shd w:val="clear" w:color="auto" w:fill="CCEECC"/>
          </w:tcPr>
          <w:p>
            <w:pPr>
              <w:spacing w:after="0"/>
              <w:rPr>
                <w:sz w:val="18"/>
                <w:szCs w:val="18"/>
                <w:color w:val="auto"/>
              </w:rPr>
            </w:pPr>
          </w:p>
        </w:tc>
        <w:tc>
          <w:tcPr>
            <w:tcW w:w="100" w:type="dxa"/>
            <w:vAlign w:val="bottom"/>
            <w:tcBorders>
              <w:bottom w:val="single" w:sz="8" w:color="auto"/>
            </w:tcBorders>
            <w:shd w:val="clear" w:color="auto" w:fill="CCEECC"/>
          </w:tcPr>
          <w:p>
            <w:pPr>
              <w:spacing w:after="0"/>
              <w:rPr>
                <w:sz w:val="18"/>
                <w:szCs w:val="18"/>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(13,202</w:t>
            </w:r>
          </w:p>
        </w:tc>
        <w:tc>
          <w:tcPr>
            <w:tcW w:w="440" w:type="dxa"/>
            <w:vAlign w:val="bottom"/>
            <w:shd w:val="clear" w:color="auto" w:fill="CCEECC"/>
          </w:tcPr>
          <w:p>
            <w:pPr>
              <w:jc w:val="right"/>
              <w:ind w:right="30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CC"/>
          </w:tcPr>
          <w:p>
            <w:pPr>
              <w:spacing w:after="0"/>
              <w:rPr>
                <w:sz w:val="18"/>
                <w:szCs w:val="18"/>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665" w:right="239" w:bottom="1116" w:gutter="0" w:footer="0" w:header="0"/>
        </w:sect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designated as hedges:</w:t>
      </w:r>
    </w:p>
    <w:p>
      <w:pPr>
        <w:spacing w:after="0" w:line="9" w:lineRule="exact"/>
        <w:rPr>
          <w:sz w:val="20"/>
          <w:szCs w:val="20"/>
          <w:color w:val="auto"/>
        </w:rPr>
      </w:pPr>
    </w:p>
    <w:p>
      <w:pPr>
        <w:ind w:left="180" w:right="380" w:hanging="161"/>
        <w:spacing w:after="0" w:line="250" w:lineRule="auto"/>
        <w:rPr>
          <w:sz w:val="20"/>
          <w:szCs w:val="20"/>
          <w:color w:val="auto"/>
        </w:rPr>
      </w:pPr>
      <w:r>
        <w:rPr>
          <w:rFonts w:ascii="Arial" w:cs="Arial" w:eastAsia="Arial" w:hAnsi="Arial"/>
          <w:sz w:val="18"/>
          <w:szCs w:val="18"/>
          <w:color w:val="auto"/>
        </w:rPr>
        <w:t>Hedge the effects of changes in 1ML on advance funding facilities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hedges of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of MSRs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designated as qualifying hedges: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U.S. Treasury futures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Forward MBS trades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hedges of MSRs</w:t>
      </w:r>
    </w:p>
    <w:p>
      <w:pPr>
        <w:spacing w:after="0" w:line="251" w:lineRule="exact"/>
        <w:rPr>
          <w:sz w:val="20"/>
          <w:szCs w:val="20"/>
          <w:color w:val="auto"/>
        </w:rPr>
      </w:pPr>
    </w:p>
    <w:p>
      <w:pPr>
        <w:ind w:right="780"/>
        <w:spacing w:after="0" w:line="274" w:lineRule="auto"/>
        <w:rPr>
          <w:sz w:val="20"/>
          <w:szCs w:val="20"/>
          <w:color w:val="auto"/>
        </w:rPr>
      </w:pPr>
      <w:r>
        <w:rPr>
          <w:rFonts w:ascii="Arial" w:cs="Arial" w:eastAsia="Arial" w:hAnsi="Arial"/>
          <w:sz w:val="17"/>
          <w:szCs w:val="17"/>
          <w:b w:val="1"/>
          <w:bCs w:val="1"/>
          <w:i w:val="1"/>
          <w:iCs w:val="1"/>
          <w:color w:val="auto"/>
        </w:rPr>
        <w:t xml:space="preserve">Risk of change in purchase price of MSRs </w:t>
      </w:r>
      <w:r>
        <w:rPr>
          <w:rFonts w:ascii="Arial" w:cs="Arial" w:eastAsia="Arial" w:hAnsi="Arial"/>
          <w:sz w:val="17"/>
          <w:szCs w:val="17"/>
          <w:u w:val="single" w:color="auto"/>
          <w:color w:val="auto"/>
        </w:rPr>
        <w:t>Designated as a qualifying hedge:</w:t>
      </w:r>
    </w:p>
    <w:p>
      <w:pPr>
        <w:spacing w:after="0"/>
        <w:rPr>
          <w:sz w:val="20"/>
          <w:szCs w:val="20"/>
          <w:color w:val="auto"/>
        </w:rPr>
      </w:pPr>
      <w:r>
        <w:rPr>
          <w:rFonts w:ascii="Arial" w:cs="Arial" w:eastAsia="Arial" w:hAnsi="Arial"/>
          <w:sz w:val="18"/>
          <w:szCs w:val="18"/>
          <w:color w:val="auto"/>
        </w:rPr>
        <w:t>Interest rate swap (6)</w:t>
      </w:r>
    </w:p>
    <w:p>
      <w:pPr>
        <w:spacing w:after="0" w:line="238" w:lineRule="exact"/>
        <w:rPr>
          <w:sz w:val="20"/>
          <w:szCs w:val="20"/>
          <w:color w:val="auto"/>
        </w:rPr>
      </w:pPr>
    </w:p>
    <w:p>
      <w:pPr>
        <w:ind w:left="180" w:hanging="161"/>
        <w:spacing w:after="0" w:line="258" w:lineRule="auto"/>
        <w:rPr>
          <w:sz w:val="20"/>
          <w:szCs w:val="20"/>
          <w:color w:val="auto"/>
        </w:rPr>
      </w:pPr>
      <w:r>
        <w:rPr>
          <w:rFonts w:ascii="Arial" w:cs="Arial" w:eastAsia="Arial" w:hAnsi="Arial"/>
          <w:sz w:val="18"/>
          <w:szCs w:val="18"/>
          <w:b w:val="1"/>
          <w:bCs w:val="1"/>
          <w:i w:val="1"/>
          <w:iCs w:val="1"/>
          <w:color w:val="auto"/>
        </w:rPr>
        <w:t>Interest rate risk of mortgage loans held for sale and IRLCs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designated as qualifying hedges: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MBS trades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IRLCs</w:t>
      </w: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320" w:type="dxa"/>
            <w:vAlign w:val="bottom"/>
          </w:tcPr>
          <w:p>
            <w:pPr>
              <w:jc w:val="center"/>
              <w:ind w:right="450"/>
              <w:spacing w:after="0"/>
              <w:rPr>
                <w:sz w:val="20"/>
                <w:szCs w:val="20"/>
                <w:color w:val="auto"/>
              </w:rPr>
            </w:pPr>
            <w:r>
              <w:rPr>
                <w:rFonts w:ascii="Arial" w:cs="Arial" w:eastAsia="Arial" w:hAnsi="Arial"/>
                <w:sz w:val="18"/>
                <w:szCs w:val="18"/>
                <w:color w:val="auto"/>
                <w:w w:val="90"/>
              </w:rPr>
              <w:t>2015-2016</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1,013,000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1,979,281</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Servicing and</w:t>
            </w:r>
          </w:p>
        </w:tc>
        <w:tc>
          <w:tcPr>
            <w:tcW w:w="0" w:type="dxa"/>
            <w:vAlign w:val="bottom"/>
          </w:tcPr>
          <w:p>
            <w:pPr>
              <w:spacing w:after="0"/>
              <w:rPr>
                <w:sz w:val="1"/>
                <w:szCs w:val="1"/>
                <w:color w:val="auto"/>
              </w:rPr>
            </w:pPr>
          </w:p>
        </w:tc>
      </w:tr>
      <w:tr>
        <w:trPr>
          <w:trHeight w:val="216"/>
        </w:trPr>
        <w:tc>
          <w:tcPr>
            <w:tcW w:w="1320" w:type="dxa"/>
            <w:vAlign w:val="bottom"/>
          </w:tcPr>
          <w:p>
            <w:pPr>
              <w:jc w:val="center"/>
              <w:ind w:right="450"/>
              <w:spacing w:after="0"/>
              <w:rPr>
                <w:sz w:val="20"/>
                <w:szCs w:val="20"/>
                <w:color w:val="auto"/>
              </w:rPr>
            </w:pPr>
            <w:r>
              <w:rPr>
                <w:rFonts w:ascii="Arial" w:cs="Arial" w:eastAsia="Arial" w:hAnsi="Arial"/>
                <w:sz w:val="18"/>
                <w:szCs w:val="18"/>
                <w:color w:val="auto"/>
                <w:w w:val="90"/>
              </w:rPr>
              <w:t>2014-2027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222,500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1,597</w:t>
            </w:r>
          </w:p>
        </w:tc>
        <w:tc>
          <w:tcPr>
            <w:tcW w:w="3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(2,480)</w:t>
            </w:r>
          </w:p>
        </w:tc>
        <w:tc>
          <w:tcPr>
            <w:tcW w:w="1180" w:type="dxa"/>
            <w:vAlign w:val="bottom"/>
          </w:tcPr>
          <w:p>
            <w:pPr>
              <w:ind w:left="180"/>
              <w:spacing w:after="0"/>
              <w:rPr>
                <w:sz w:val="20"/>
                <w:szCs w:val="20"/>
                <w:color w:val="auto"/>
              </w:rPr>
            </w:pPr>
            <w:r>
              <w:rPr>
                <w:rFonts w:ascii="Arial" w:cs="Arial" w:eastAsia="Arial" w:hAnsi="Arial"/>
                <w:sz w:val="18"/>
                <w:szCs w:val="18"/>
                <w:color w:val="auto"/>
              </w:rPr>
              <w:t>origination</w:t>
            </w: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6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(1,149)</w:t>
            </w:r>
          </w:p>
        </w:tc>
        <w:tc>
          <w:tcPr>
            <w:tcW w:w="1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44"/>
        </w:trPr>
        <w:tc>
          <w:tcPr>
            <w:tcW w:w="1540" w:type="dxa"/>
            <w:vAlign w:val="bottom"/>
            <w:gridSpan w:val="2"/>
          </w:tcPr>
          <w:p>
            <w:pPr>
              <w:jc w:val="center"/>
              <w:ind w:right="6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(2,667)</w:t>
            </w:r>
          </w:p>
        </w:tc>
        <w:tc>
          <w:tcPr>
            <w:tcW w:w="1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222,500</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(6,296</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320" w:type="dxa"/>
            <w:vAlign w:val="bottom"/>
          </w:tcPr>
          <w:p>
            <w:pPr>
              <w:jc w:val="center"/>
              <w:ind w:right="430"/>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1,250,000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(7,153)</w:t>
            </w:r>
          </w:p>
        </w:tc>
        <w:tc>
          <w:tcPr>
            <w:tcW w:w="32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(7,153)</w:t>
            </w:r>
          </w:p>
        </w:tc>
        <w:tc>
          <w:tcPr>
            <w:tcW w:w="1180" w:type="dxa"/>
            <w:vAlign w:val="bottom"/>
          </w:tcPr>
          <w:p>
            <w:pPr>
              <w:ind w:left="180"/>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1060"/>
        </w:trPr>
        <w:tc>
          <w:tcPr>
            <w:tcW w:w="1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88"/>
              </w:rPr>
              <w:t>Loss on loans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95"/>
              </w:rPr>
              <w:t>held for sale,</w:t>
            </w:r>
          </w:p>
        </w:tc>
        <w:tc>
          <w:tcPr>
            <w:tcW w:w="0" w:type="dxa"/>
            <w:vAlign w:val="bottom"/>
          </w:tcPr>
          <w:p>
            <w:pPr>
              <w:spacing w:after="0"/>
              <w:rPr>
                <w:sz w:val="1"/>
                <w:szCs w:val="1"/>
                <w:color w:val="auto"/>
              </w:rPr>
            </w:pPr>
          </w:p>
        </w:tc>
      </w:tr>
      <w:tr>
        <w:trPr>
          <w:trHeight w:val="244"/>
        </w:trPr>
        <w:tc>
          <w:tcPr>
            <w:tcW w:w="1320" w:type="dxa"/>
            <w:vAlign w:val="bottom"/>
          </w:tcPr>
          <w:p>
            <w:pPr>
              <w:jc w:val="center"/>
              <w:ind w:right="430"/>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706,560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10,189</w:t>
            </w:r>
          </w:p>
        </w:tc>
        <w:tc>
          <w:tcPr>
            <w:tcW w:w="240" w:type="dxa"/>
            <w:vAlign w:val="bottom"/>
          </w:tcPr>
          <w:p>
            <w:pPr>
              <w:spacing w:after="0"/>
              <w:rPr>
                <w:sz w:val="21"/>
                <w:szCs w:val="21"/>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88"/>
              </w:rPr>
              <w:t>Loss on loans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95"/>
              </w:rPr>
              <w:t>held for sale,</w:t>
            </w:r>
          </w:p>
        </w:tc>
        <w:tc>
          <w:tcPr>
            <w:tcW w:w="0" w:type="dxa"/>
            <w:vAlign w:val="bottom"/>
          </w:tcPr>
          <w:p>
            <w:pPr>
              <w:spacing w:after="0"/>
              <w:rPr>
                <w:sz w:val="1"/>
                <w:szCs w:val="1"/>
                <w:color w:val="auto"/>
              </w:rPr>
            </w:pPr>
          </w:p>
        </w:tc>
      </w:tr>
      <w:tr>
        <w:trPr>
          <w:trHeight w:val="244"/>
        </w:trPr>
        <w:tc>
          <w:tcPr>
            <w:tcW w:w="1320" w:type="dxa"/>
            <w:vAlign w:val="bottom"/>
          </w:tcPr>
          <w:p>
            <w:pPr>
              <w:jc w:val="center"/>
              <w:ind w:right="430"/>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617,274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4,652</w:t>
            </w:r>
          </w:p>
        </w:tc>
        <w:tc>
          <w:tcPr>
            <w:tcW w:w="3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(1,237)</w:t>
            </w:r>
          </w:p>
        </w:tc>
        <w:tc>
          <w:tcPr>
            <w:tcW w:w="1180" w:type="dxa"/>
            <w:vAlign w:val="bottom"/>
          </w:tcPr>
          <w:p>
            <w:pPr>
              <w:ind w:left="1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4,775,615</w:t>
            </w:r>
          </w:p>
        </w:tc>
        <w:tc>
          <w:tcPr>
            <w:tcW w:w="4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(2,050</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-4390390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-3970020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-3541395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-2992120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-2709545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-2280285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-1851660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-1440180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-454025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2">
            <w:col w:w="3920" w:space="620"/>
            <w:col w:w="6880"/>
          </w:cols>
          <w:pgMar w:left="240" w:top="665" w:right="239" w:bottom="1116" w:gutter="0" w:footer="0" w:header="0"/>
          <w:type w:val="continuous"/>
        </w:sectPr>
      </w:pPr>
    </w:p>
    <w:bookmarkStart w:id="31" w:name="page32"/>
    <w:bookmarkEnd w:id="31"/>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unaudited Consolidated Balance Sheets.</w:t>
      </w:r>
    </w:p>
    <w:p>
      <w:pPr>
        <w:spacing w:after="0" w:line="184" w:lineRule="exact"/>
        <w:rPr>
          <w:rFonts w:ascii="Arial" w:cs="Arial" w:eastAsia="Arial" w:hAnsi="Arial"/>
          <w:sz w:val="18"/>
          <w:szCs w:val="18"/>
          <w:color w:val="auto"/>
        </w:rPr>
      </w:pPr>
    </w:p>
    <w:p>
      <w:pPr>
        <w:ind w:left="340" w:right="4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discontinued hedge accounting for this hedging relationship effective July 1, 2011 and began amortizing to earnings the $6.2 million of deferred losses in accumulated other comprehensive income. In September 2012, we repaid the advance facility and wrote-off the remaining $2.3 million of unamortized deferred losses in AOCL.</w:t>
      </w:r>
    </w:p>
    <w:p>
      <w:pPr>
        <w:spacing w:after="0" w:line="154"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hedging relationship was terminated when the advance facility was assumed on March 5, 2012 by HLSS. At that time, we wrote-off the $6.0 million of deferred losses in AOCL. See Note 4 – Asset Sales and Financing and Note 14 – Match Funded Liabilities for additional information.</w:t>
      </w:r>
    </w:p>
    <w:p>
      <w:pPr>
        <w:spacing w:after="0" w:line="106" w:lineRule="exact"/>
        <w:rPr>
          <w:rFonts w:ascii="Arial" w:cs="Arial" w:eastAsia="Arial" w:hAnsi="Arial"/>
          <w:sz w:val="17"/>
          <w:szCs w:val="17"/>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Monthly settlements on this forward-starting swap begin June 2013.</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Projected net settlements on the swap for the next twelve months total approximately $5.3 million of payments to the counterparties.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swap was closed out on April 15, 2013 concurrent with the closing of the last stage of the MSR purchase.</w:t>
      </w:r>
    </w:p>
    <w:p>
      <w:pPr>
        <w:spacing w:after="0" w:line="185"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Included in AOCL at March 31, 2013 and December 31, 2012, respectively, were $16.1 million and $9.9 million of deferred unrealized losses, before taxes of $6.1 million and $3.6 million, respectively, on the interest rate swaps that we designated as cash flow hedges. The change in deferred unrealized losses on cash flow hedges includes $6.9 million of losses recognized during the three months ended March 31, 2013, net of $0.7 million of losses reclassified to Other, net, because of the ineffectiveness of certain of the hedges. The statements of operations include the following related to derivative financial instruments for the three months ended March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Borders>
              <w:bottom w:val="single" w:sz="8" w:color="CCEECC"/>
            </w:tcBorders>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6880" w:type="dxa"/>
            <w:vAlign w:val="bottom"/>
            <w:shd w:val="clear" w:color="auto" w:fill="CCEECC"/>
          </w:tcPr>
          <w:p>
            <w:pPr>
              <w:spacing w:after="0"/>
              <w:rPr>
                <w:sz w:val="20"/>
                <w:szCs w:val="20"/>
                <w:color w:val="auto"/>
              </w:rPr>
            </w:pPr>
            <w:r>
              <w:rPr>
                <w:rFonts w:ascii="Arial" w:cs="Arial" w:eastAsia="Arial" w:hAnsi="Arial"/>
                <w:sz w:val="18"/>
                <w:szCs w:val="18"/>
                <w:color w:val="auto"/>
              </w:rPr>
              <w:t>Servicing and origination expense</w:t>
            </w:r>
          </w:p>
        </w:tc>
        <w:tc>
          <w:tcPr>
            <w:tcW w:w="19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Gains on economic hedges</w:t>
            </w:r>
          </w:p>
        </w:tc>
        <w:tc>
          <w:tcPr>
            <w:tcW w:w="21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CC"/>
          </w:tcPr>
          <w:p>
            <w:pPr>
              <w:spacing w:after="0"/>
              <w:rPr>
                <w:sz w:val="20"/>
                <w:szCs w:val="20"/>
                <w:color w:val="auto"/>
              </w:rPr>
            </w:pPr>
            <w:r>
              <w:rPr>
                <w:rFonts w:ascii="Arial" w:cs="Arial" w:eastAsia="Arial" w:hAnsi="Arial"/>
                <w:sz w:val="18"/>
                <w:szCs w:val="18"/>
                <w:color w:val="auto"/>
              </w:rPr>
              <w:t>Loss on loans held for resale, net</w:t>
            </w:r>
          </w:p>
        </w:tc>
        <w:tc>
          <w:tcPr>
            <w:tcW w:w="19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Gains (losses) on economic hedges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8,952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CC"/>
          </w:tcPr>
          <w:p>
            <w:pPr>
              <w:spacing w:after="0"/>
              <w:rPr>
                <w:sz w:val="20"/>
                <w:szCs w:val="20"/>
                <w:color w:val="auto"/>
              </w:rPr>
            </w:pPr>
            <w:r>
              <w:rPr>
                <w:rFonts w:ascii="Arial" w:cs="Arial" w:eastAsia="Arial" w:hAnsi="Arial"/>
                <w:sz w:val="18"/>
                <w:szCs w:val="18"/>
                <w:color w:val="auto"/>
              </w:rPr>
              <w:t>Other, net</w:t>
            </w:r>
          </w:p>
        </w:tc>
        <w:tc>
          <w:tcPr>
            <w:tcW w:w="19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Gains (losses) on economic hedges (1)</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3,405</w:t>
            </w:r>
          </w:p>
        </w:tc>
        <w:tc>
          <w:tcPr>
            <w:tcW w:w="80" w:type="dxa"/>
            <w:vAlign w:val="bottom"/>
          </w:tcPr>
          <w:p>
            <w:pPr>
              <w:spacing w:after="0"/>
              <w:rPr>
                <w:sz w:val="18"/>
                <w:szCs w:val="18"/>
                <w:color w:val="auto"/>
              </w:rPr>
            </w:pPr>
          </w:p>
        </w:tc>
      </w:tr>
      <w:tr>
        <w:trPr>
          <w:trHeight w:val="216"/>
        </w:trPr>
        <w:tc>
          <w:tcPr>
            <w:tcW w:w="68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Ineffectiveness of cash flow hedges</w:t>
            </w:r>
          </w:p>
        </w:tc>
        <w:tc>
          <w:tcPr>
            <w:tcW w:w="19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C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Write-off of losses in AOCL for a discontinued hedge relationship</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(772)</w:t>
            </w:r>
          </w:p>
        </w:tc>
      </w:tr>
      <w:tr>
        <w:trPr>
          <w:trHeight w:val="202"/>
        </w:trPr>
        <w:tc>
          <w:tcPr>
            <w:tcW w:w="6880" w:type="dxa"/>
            <w:vAlign w:val="bottom"/>
            <w:shd w:val="clear" w:color="auto" w:fill="CCEECC"/>
          </w:tcPr>
          <w:p>
            <w:pPr>
              <w:ind w:left="180"/>
              <w:spacing w:after="0" w:line="201" w:lineRule="exact"/>
              <w:rPr>
                <w:sz w:val="20"/>
                <w:szCs w:val="20"/>
                <w:color w:val="auto"/>
              </w:rPr>
            </w:pPr>
            <w:r>
              <w:rPr>
                <w:rFonts w:ascii="Arial" w:cs="Arial" w:eastAsia="Arial" w:hAnsi="Arial"/>
                <w:sz w:val="18"/>
                <w:szCs w:val="18"/>
                <w:color w:val="auto"/>
              </w:rPr>
              <w:t>Write-off of losses in AOCL for hedge of a financing facility</w:t>
            </w:r>
          </w:p>
        </w:tc>
        <w:tc>
          <w:tcPr>
            <w:tcW w:w="19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44"/>
        </w:trPr>
        <w:tc>
          <w:tcPr>
            <w:tcW w:w="6880" w:type="dxa"/>
            <w:vAlign w:val="bottom"/>
            <w:shd w:val="clear" w:color="auto" w:fill="CCEECC"/>
          </w:tcPr>
          <w:p>
            <w:pPr>
              <w:ind w:left="340"/>
              <w:spacing w:after="0"/>
              <w:rPr>
                <w:sz w:val="20"/>
                <w:szCs w:val="20"/>
                <w:color w:val="auto"/>
              </w:rPr>
            </w:pPr>
            <w:r>
              <w:rPr>
                <w:rFonts w:ascii="Arial" w:cs="Arial" w:eastAsia="Arial" w:hAnsi="Arial"/>
                <w:sz w:val="18"/>
                <w:szCs w:val="18"/>
                <w:color w:val="auto"/>
              </w:rPr>
              <w:t>assumed by HLSS (See Note 4 – Asset Sales and Financing)</w:t>
            </w:r>
          </w:p>
        </w:tc>
        <w:tc>
          <w:tcPr>
            <w:tcW w:w="194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2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9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(5,958)</w:t>
            </w:r>
          </w:p>
        </w:tc>
      </w:tr>
      <w:tr>
        <w:trPr>
          <w:trHeight w:val="223"/>
        </w:trPr>
        <w:tc>
          <w:tcPr>
            <w:tcW w:w="68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gain of $3.4 million recognized during the three months ended March 31, 2012 from the termination of foreign exchange forward contracts.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NOTE 19  INTEREST EXPENSE</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92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interest expense:</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920" w:type="dxa"/>
            <w:vAlign w:val="bottom"/>
            <w:tcBorders>
              <w:bottom w:val="single" w:sz="8" w:color="CCEECC"/>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190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4"/>
                <w:szCs w:val="24"/>
                <w:color w:val="auto"/>
              </w:rPr>
            </w:pPr>
          </w:p>
        </w:tc>
      </w:tr>
      <w:tr>
        <w:trPr>
          <w:trHeight w:val="210"/>
        </w:trPr>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19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30,351</w:t>
            </w: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shd w:val="clear" w:color="auto" w:fill="CCEE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 borrowings (1)</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60,523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14,222</w:t>
            </w:r>
          </w:p>
        </w:tc>
      </w:tr>
      <w:tr>
        <w:trPr>
          <w:trHeight w:val="216"/>
        </w:trPr>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Debt securities:</w:t>
            </w:r>
          </w:p>
        </w:tc>
        <w:tc>
          <w:tcPr>
            <w:tcW w:w="19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3.25% Convertible Notes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69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10.875% Capital Trust Securities</w:t>
            </w:r>
          </w:p>
        </w:tc>
        <w:tc>
          <w:tcPr>
            <w:tcW w:w="19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710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r>
      <w:tr>
        <w:trPr>
          <w:trHeight w:val="223"/>
        </w:trPr>
        <w:tc>
          <w:tcPr>
            <w:tcW w:w="6920" w:type="dxa"/>
            <w:vAlign w:val="bottom"/>
            <w:tcBorders>
              <w:top w:val="single" w:sz="8" w:color="CCEECC"/>
              <w:bottom w:val="single" w:sz="8" w:color="CCEECC"/>
            </w:tcBorders>
            <w:shd w:val="clear" w:color="auto" w:fill="CCEECC"/>
          </w:tcPr>
          <w:p>
            <w:pPr>
              <w:spacing w:after="0"/>
              <w:rPr>
                <w:sz w:val="19"/>
                <w:szCs w:val="19"/>
                <w:color w:val="auto"/>
              </w:rPr>
            </w:pPr>
          </w:p>
        </w:tc>
        <w:tc>
          <w:tcPr>
            <w:tcW w:w="19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93,416</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46,924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interest expense of $44.5 million and $2.9 million for the three months ended March 31, 2013 and 2012, respectively, related to financing liabilities recorded in connection with the HLSS Transactions. See Note 4 – Asset Sales and Financing and Note 15 – Other Borrowings for additional information.</w:t>
      </w:r>
    </w:p>
    <w:p>
      <w:pPr>
        <w:spacing w:after="0" w:line="13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BASIC AND DILUTED EARNINGS PER SHARE (EPS)</w:t>
      </w:r>
    </w:p>
    <w:p>
      <w:pPr>
        <w:spacing w:after="0" w:line="202"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and interest expense net of income tax on the Convertible Notes, by the weighted average number of common shares outstanding including the potential dilutive common shares related to outstanding stock options, restricted stock awards, the Preferred Shares and the Convertible Notes. The following is a reconciliation of the calculation of basic EPS to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March 31</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CCEECC"/>
              <w:bottom w:val="single" w:sz="8" w:color="auto"/>
            </w:tcBorders>
            <w:shd w:val="clear" w:color="auto" w:fill="CCEECC"/>
          </w:tcPr>
          <w:p>
            <w:pPr>
              <w:spacing w:after="0" w:line="170" w:lineRule="exact"/>
              <w:rPr>
                <w:sz w:val="20"/>
                <w:szCs w:val="20"/>
                <w:color w:val="auto"/>
              </w:rPr>
            </w:pPr>
            <w:r>
              <w:rPr>
                <w:rFonts w:ascii="Arial" w:cs="Arial" w:eastAsia="Arial" w:hAnsi="Arial"/>
                <w:sz w:val="18"/>
                <w:szCs w:val="18"/>
                <w:color w:val="auto"/>
                <w:w w:val="86"/>
              </w:rPr>
              <w:t>Basic EPS:</w:t>
            </w:r>
          </w:p>
        </w:tc>
        <w:tc>
          <w:tcPr>
            <w:tcW w:w="5800" w:type="dxa"/>
            <w:vAlign w:val="bottom"/>
            <w:tcBorders>
              <w:top w:val="single" w:sz="8" w:color="CCEECC"/>
              <w:bottom w:val="single" w:sz="8" w:color="CCEECC"/>
            </w:tcBorders>
            <w:gridSpan w:val="2"/>
            <w:shd w:val="clear" w:color="auto" w:fill="CCEECC"/>
          </w:tcPr>
          <w:p>
            <w:pPr>
              <w:spacing w:after="0"/>
              <w:rPr>
                <w:sz w:val="16"/>
                <w:szCs w:val="16"/>
                <w:color w:val="auto"/>
              </w:rPr>
            </w:pPr>
          </w:p>
        </w:tc>
        <w:tc>
          <w:tcPr>
            <w:tcW w:w="2200" w:type="dxa"/>
            <w:vAlign w:val="bottom"/>
            <w:tcBorders>
              <w:top w:val="single" w:sz="8" w:color="CCEECC"/>
              <w:bottom w:val="single" w:sz="8" w:color="CCEECC"/>
            </w:tcBorders>
            <w:shd w:val="clear" w:color="auto" w:fill="CCEECC"/>
          </w:tcPr>
          <w:p>
            <w:pPr>
              <w:spacing w:after="0"/>
              <w:rPr>
                <w:sz w:val="16"/>
                <w:szCs w:val="16"/>
                <w:color w:val="auto"/>
              </w:rPr>
            </w:pPr>
          </w:p>
        </w:tc>
        <w:tc>
          <w:tcPr>
            <w:tcW w:w="100" w:type="dxa"/>
            <w:vAlign w:val="bottom"/>
            <w:tcBorders>
              <w:top w:val="single" w:sz="8" w:color="auto"/>
              <w:bottom w:val="single" w:sz="8" w:color="CCEECC"/>
            </w:tcBorders>
            <w:shd w:val="clear" w:color="auto" w:fill="CCEECC"/>
          </w:tcPr>
          <w:p>
            <w:pPr>
              <w:spacing w:after="0"/>
              <w:rPr>
                <w:sz w:val="16"/>
                <w:szCs w:val="16"/>
                <w:color w:val="auto"/>
              </w:rPr>
            </w:pPr>
          </w:p>
        </w:tc>
        <w:tc>
          <w:tcPr>
            <w:tcW w:w="940" w:type="dxa"/>
            <w:vAlign w:val="bottom"/>
            <w:tcBorders>
              <w:top w:val="single" w:sz="8" w:color="auto"/>
              <w:bottom w:val="single" w:sz="8" w:color="CCEECC"/>
            </w:tcBorders>
            <w:shd w:val="clear" w:color="auto" w:fill="CCEECC"/>
          </w:tcPr>
          <w:p>
            <w:pPr>
              <w:spacing w:after="0"/>
              <w:rPr>
                <w:sz w:val="16"/>
                <w:szCs w:val="16"/>
                <w:color w:val="auto"/>
              </w:rPr>
            </w:pPr>
          </w:p>
        </w:tc>
        <w:tc>
          <w:tcPr>
            <w:tcW w:w="220" w:type="dxa"/>
            <w:vAlign w:val="bottom"/>
            <w:tcBorders>
              <w:top w:val="single" w:sz="8" w:color="CCEECC"/>
              <w:bottom w:val="single" w:sz="8" w:color="CCEECC"/>
            </w:tcBorders>
            <w:shd w:val="clear" w:color="auto" w:fill="CCEECC"/>
          </w:tcPr>
          <w:p>
            <w:pPr>
              <w:spacing w:after="0"/>
              <w:rPr>
                <w:sz w:val="16"/>
                <w:szCs w:val="16"/>
                <w:color w:val="auto"/>
              </w:rPr>
            </w:pPr>
          </w:p>
        </w:tc>
        <w:tc>
          <w:tcPr>
            <w:tcW w:w="220" w:type="dxa"/>
            <w:vAlign w:val="bottom"/>
            <w:tcBorders>
              <w:top w:val="single" w:sz="8" w:color="CCEECC"/>
              <w:bottom w:val="single" w:sz="8" w:color="CCEECC"/>
            </w:tcBorders>
            <w:shd w:val="clear" w:color="auto" w:fill="CCEECC"/>
          </w:tcPr>
          <w:p>
            <w:pPr>
              <w:spacing w:after="0"/>
              <w:rPr>
                <w:sz w:val="16"/>
                <w:szCs w:val="16"/>
                <w:color w:val="auto"/>
              </w:rPr>
            </w:pPr>
          </w:p>
        </w:tc>
        <w:tc>
          <w:tcPr>
            <w:tcW w:w="100" w:type="dxa"/>
            <w:vAlign w:val="bottom"/>
            <w:tcBorders>
              <w:top w:val="single" w:sz="8" w:color="auto"/>
              <w:bottom w:val="single" w:sz="8" w:color="CCEECC"/>
            </w:tcBorders>
            <w:shd w:val="clear" w:color="auto" w:fill="CCEECC"/>
          </w:tcPr>
          <w:p>
            <w:pPr>
              <w:spacing w:after="0"/>
              <w:rPr>
                <w:sz w:val="16"/>
                <w:szCs w:val="16"/>
                <w:color w:val="auto"/>
              </w:rPr>
            </w:pPr>
          </w:p>
        </w:tc>
        <w:tc>
          <w:tcPr>
            <w:tcW w:w="920" w:type="dxa"/>
            <w:vAlign w:val="bottom"/>
            <w:tcBorders>
              <w:top w:val="single" w:sz="8" w:color="auto"/>
              <w:bottom w:val="single" w:sz="8" w:color="CCEECC"/>
            </w:tcBorders>
            <w:shd w:val="clear" w:color="auto" w:fill="CCEECC"/>
          </w:tcPr>
          <w:p>
            <w:pPr>
              <w:spacing w:after="0"/>
              <w:rPr>
                <w:sz w:val="16"/>
                <w:szCs w:val="16"/>
                <w:color w:val="auto"/>
              </w:rPr>
            </w:pPr>
          </w:p>
        </w:tc>
        <w:tc>
          <w:tcPr>
            <w:tcW w:w="100" w:type="dxa"/>
            <w:vAlign w:val="bottom"/>
            <w:tcBorders>
              <w:top w:val="single" w:sz="8" w:color="CCEECC"/>
              <w:bottom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tcBorders>
              <w:bottom w:val="single" w:sz="8" w:color="CCEECC"/>
            </w:tcBorders>
            <w:gridSpan w:val="3"/>
            <w:shd w:val="clear" w:color="auto" w:fill="CCEECC"/>
          </w:tcPr>
          <w:p>
            <w:pPr>
              <w:spacing w:after="0"/>
              <w:rPr>
                <w:sz w:val="20"/>
                <w:szCs w:val="20"/>
                <w:color w:val="auto"/>
              </w:rPr>
            </w:pPr>
            <w:r>
              <w:rPr>
                <w:rFonts w:ascii="Arial" w:cs="Arial" w:eastAsia="Arial" w:hAnsi="Arial"/>
                <w:sz w:val="18"/>
                <w:szCs w:val="18"/>
                <w:color w:val="auto"/>
              </w:rPr>
              <w:t>Weighted average shares of common stock</w:t>
            </w:r>
          </w:p>
        </w:tc>
        <w:tc>
          <w:tcPr>
            <w:tcW w:w="220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135,638,567</w:t>
            </w:r>
          </w:p>
        </w:tc>
        <w:tc>
          <w:tcPr>
            <w:tcW w:w="220" w:type="dxa"/>
            <w:vAlign w:val="bottom"/>
            <w:tcBorders>
              <w:bottom w:val="single" w:sz="8" w:color="CCEECC"/>
            </w:tcBorders>
            <w:shd w:val="clear" w:color="auto" w:fill="CCEECC"/>
          </w:tcPr>
          <w:p>
            <w:pPr>
              <w:spacing w:after="0"/>
              <w:rPr>
                <w:sz w:val="21"/>
                <w:szCs w:val="21"/>
                <w:color w:val="auto"/>
              </w:rPr>
            </w:pPr>
          </w:p>
        </w:tc>
        <w:tc>
          <w:tcPr>
            <w:tcW w:w="22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130,649,595</w:t>
            </w:r>
          </w:p>
        </w:tc>
        <w:tc>
          <w:tcPr>
            <w:tcW w:w="100" w:type="dxa"/>
            <w:vAlign w:val="bottom"/>
            <w:tcBorders>
              <w:bottom w:val="single" w:sz="8" w:color="CCEECC"/>
            </w:tcBorders>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8"/>
                <w:szCs w:val="18"/>
                <w:color w:val="auto"/>
              </w:rPr>
              <w:t>Basic EPS</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20" w:type="dxa"/>
            <w:vAlign w:val="bottom"/>
            <w:gridSpan w:val="4"/>
            <w:vMerge w:val="continue"/>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auto"/>
            </w:tcBorders>
            <w:gridSpan w:val="2"/>
            <w:shd w:val="clear" w:color="auto" w:fill="CCEECC"/>
          </w:tcPr>
          <w:p>
            <w:pPr>
              <w:spacing w:after="0" w:line="176" w:lineRule="exact"/>
              <w:rPr>
                <w:sz w:val="20"/>
                <w:szCs w:val="20"/>
                <w:color w:val="auto"/>
              </w:rPr>
            </w:pPr>
            <w:r>
              <w:rPr>
                <w:rFonts w:ascii="Arial" w:cs="Arial" w:eastAsia="Arial" w:hAnsi="Arial"/>
                <w:sz w:val="18"/>
                <w:szCs w:val="18"/>
                <w:color w:val="auto"/>
                <w:w w:val="90"/>
              </w:rPr>
              <w:t>Diluted EPS:</w:t>
            </w:r>
          </w:p>
        </w:tc>
        <w:tc>
          <w:tcPr>
            <w:tcW w:w="5660" w:type="dxa"/>
            <w:vAlign w:val="bottom"/>
            <w:tcBorders>
              <w:bottom w:val="single" w:sz="8" w:color="CCEECC"/>
            </w:tcBorders>
            <w:shd w:val="clear" w:color="auto" w:fill="CCEECC"/>
          </w:tcPr>
          <w:p>
            <w:pPr>
              <w:spacing w:after="0"/>
              <w:rPr>
                <w:sz w:val="17"/>
                <w:szCs w:val="17"/>
                <w:color w:val="auto"/>
              </w:rPr>
            </w:pPr>
          </w:p>
        </w:tc>
        <w:tc>
          <w:tcPr>
            <w:tcW w:w="2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4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Preferred stock dividends (1)</w:t>
            </w:r>
          </w:p>
        </w:tc>
        <w:tc>
          <w:tcPr>
            <w:tcW w:w="2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income tax (2)</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CC"/>
              <w:bottom w:val="single" w:sz="8" w:color="CCEECC"/>
            </w:tcBorders>
            <w:gridSpan w:val="3"/>
            <w:shd w:val="clear" w:color="auto" w:fill="CCEECC"/>
          </w:tcPr>
          <w:p>
            <w:pPr>
              <w:spacing w:after="0"/>
              <w:rPr>
                <w:sz w:val="20"/>
                <w:szCs w:val="20"/>
                <w:color w:val="auto"/>
              </w:rPr>
            </w:pPr>
            <w:r>
              <w:rPr>
                <w:rFonts w:ascii="Arial" w:cs="Arial" w:eastAsia="Arial" w:hAnsi="Arial"/>
                <w:sz w:val="18"/>
                <w:szCs w:val="18"/>
                <w:color w:val="auto"/>
              </w:rPr>
              <w:t>Adjusted net income attributable to Ocwen</w:t>
            </w:r>
          </w:p>
        </w:tc>
        <w:tc>
          <w:tcPr>
            <w:tcW w:w="22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42,576</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rPr>
              <w:t>Weighted average shares of common stock</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135,638,567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130,649,595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Effect of dilutive elements:</w:t>
            </w:r>
          </w:p>
        </w:tc>
        <w:tc>
          <w:tcPr>
            <w:tcW w:w="2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120"/>
              <w:spacing w:after="0"/>
              <w:rPr>
                <w:sz w:val="20"/>
                <w:szCs w:val="20"/>
                <w:color w:val="auto"/>
              </w:rPr>
            </w:pPr>
            <w:r>
              <w:rPr>
                <w:rFonts w:ascii="Arial" w:cs="Arial" w:eastAsia="Arial" w:hAnsi="Arial"/>
                <w:sz w:val="18"/>
                <w:szCs w:val="18"/>
                <w:color w:val="auto"/>
              </w:rPr>
              <w:t>Preferred Shares (1)</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Convertible Notes (2)</w:t>
            </w:r>
          </w:p>
        </w:tc>
        <w:tc>
          <w:tcPr>
            <w:tcW w:w="2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4,057,736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3,902,390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3,337,571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Common stock awards</w:t>
            </w:r>
          </w:p>
        </w:tc>
        <w:tc>
          <w:tcPr>
            <w:tcW w:w="2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18,200</w:t>
            </w: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139,559,157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138,046,270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Diluted EPS</w:t>
            </w:r>
          </w:p>
        </w:tc>
        <w:tc>
          <w:tcPr>
            <w:tcW w:w="2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CC"/>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5660" w:type="dxa"/>
            <w:vAlign w:val="bottom"/>
            <w:shd w:val="clear" w:color="auto" w:fill="CCEECC"/>
          </w:tcPr>
          <w:p>
            <w:pPr>
              <w:spacing w:after="0" w:line="20" w:lineRule="exact"/>
              <w:rPr>
                <w:sz w:val="1"/>
                <w:szCs w:val="1"/>
                <w:color w:val="auto"/>
              </w:rPr>
            </w:pPr>
          </w:p>
        </w:tc>
        <w:tc>
          <w:tcPr>
            <w:tcW w:w="220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4"/>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Anti-dilutive(3)</w:t>
            </w:r>
          </w:p>
        </w:tc>
        <w:tc>
          <w:tcPr>
            <w:tcW w:w="2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tcPr>
          <w:p>
            <w:pPr>
              <w:ind w:left="120"/>
              <w:spacing w:after="0"/>
              <w:rPr>
                <w:sz w:val="20"/>
                <w:szCs w:val="20"/>
                <w:color w:val="auto"/>
              </w:rPr>
            </w:pPr>
            <w:r>
              <w:rPr>
                <w:rFonts w:ascii="Arial" w:cs="Arial" w:eastAsia="Arial" w:hAnsi="Arial"/>
                <w:sz w:val="18"/>
                <w:szCs w:val="18"/>
                <w:color w:val="auto"/>
              </w:rPr>
              <w:t>Market-based(4)</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558,750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right="1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our Preferred Shares on diluted EPS is computed using the if-converted method. We assumed no conversion to common shares for the first quarter of 2013 because the effect was anti-dilutive.</w:t>
      </w:r>
    </w:p>
    <w:p>
      <w:pPr>
        <w:spacing w:after="0" w:line="143" w:lineRule="exact"/>
        <w:rPr>
          <w:rFonts w:ascii="Arial" w:cs="Arial" w:eastAsia="Arial" w:hAnsi="Arial"/>
          <w:sz w:val="18"/>
          <w:szCs w:val="18"/>
          <w:color w:val="auto"/>
        </w:rPr>
      </w:pPr>
    </w:p>
    <w:p>
      <w:pPr>
        <w:ind w:left="340" w:right="38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redemption of the 3.25% Convertible Notes in March 2012, we also computed their effect on diluted EPS using the if-converted method. Interest expense and related amortization costs applicable to the Convertible Notes, net of income tax, were added back to net income. We issued 4,635,159 shares of common stock upon conversion of $56.4 million of the Convertible Notes.</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OCN’s stock price and an annualized rate of return to investors.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ind w:left="20"/>
        <w:spacing w:after="0"/>
        <w:tabs>
          <w:tab w:leader="none" w:pos="90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BUSINESS SEGMENT REPORTING</w:t>
      </w:r>
    </w:p>
    <w:p>
      <w:pPr>
        <w:spacing w:after="0" w:line="18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43"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both agency and non-agency loans. Non-agency loans include prime and subprime loans which represent residential loans that generally did not qualify under GSE guidelines or have subsequently become delinquent.</w:t>
      </w:r>
    </w:p>
    <w:p>
      <w:pPr>
        <w:spacing w:after="0" w:line="138" w:lineRule="exact"/>
        <w:rPr>
          <w:sz w:val="20"/>
          <w:szCs w:val="20"/>
          <w:color w:val="auto"/>
        </w:rPr>
      </w:pPr>
    </w:p>
    <w:p>
      <w:pPr>
        <w:ind w:right="680" w:firstLine="324"/>
        <w:spacing w:after="0" w:line="286"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is focused on originating and purchasing agency-conforming residential mortgage loans mainly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correspondent lending business. We also commenced a direct lending business to pursue refinancing opportunities from our existing portfolio, where permitted. The loans are typically sold shortly after origination into a liquid market on a servicing retained basis.</w:t>
      </w:r>
    </w:p>
    <w:p>
      <w:pPr>
        <w:spacing w:after="0" w:line="125"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Acquisition and the ResCap Acquisition and subsequently sold.</w:t>
      </w:r>
    </w:p>
    <w:p>
      <w:pPr>
        <w:spacing w:after="0" w:line="14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w w:val="96"/>
              </w:rPr>
              <w:t>Financial information for our segments is as follows: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Servicing</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Lending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CC"/>
            </w:tcBorders>
            <w:gridSpan w:val="2"/>
            <w:shd w:val="clear" w:color="auto" w:fill="CCEECC"/>
          </w:tcPr>
          <w:p>
            <w:pPr>
              <w:spacing w:after="0" w:line="196" w:lineRule="exact"/>
              <w:rPr>
                <w:sz w:val="20"/>
                <w:szCs w:val="20"/>
                <w:color w:val="auto"/>
              </w:rPr>
            </w:pPr>
            <w:r>
              <w:rPr>
                <w:rFonts w:ascii="Arial" w:cs="Arial" w:eastAsia="Arial" w:hAnsi="Arial"/>
                <w:sz w:val="18"/>
                <w:szCs w:val="18"/>
                <w:b w:val="1"/>
                <w:bCs w:val="1"/>
                <w:color w:val="auto"/>
              </w:rPr>
              <w:t>Results of Operations</w:t>
            </w:r>
          </w:p>
        </w:tc>
        <w:tc>
          <w:tcPr>
            <w:tcW w:w="120" w:type="dxa"/>
            <w:vAlign w:val="bottom"/>
            <w:tcBorders>
              <w:top w:val="single" w:sz="8" w:color="auto"/>
            </w:tcBorders>
            <w:shd w:val="clear" w:color="auto" w:fill="CCEECC"/>
          </w:tcPr>
          <w:p>
            <w:pPr>
              <w:spacing w:after="0"/>
              <w:rPr>
                <w:sz w:val="17"/>
                <w:szCs w:val="17"/>
                <w:color w:val="auto"/>
              </w:rPr>
            </w:pPr>
          </w:p>
        </w:tc>
        <w:tc>
          <w:tcPr>
            <w:tcW w:w="920" w:type="dxa"/>
            <w:vAlign w:val="bottom"/>
            <w:tcBorders>
              <w:top w:val="single" w:sz="8" w:color="auto"/>
            </w:tcBorders>
            <w:shd w:val="clear" w:color="auto" w:fill="CCEECC"/>
          </w:tcPr>
          <w:p>
            <w:pPr>
              <w:spacing w:after="0"/>
              <w:rPr>
                <w:sz w:val="17"/>
                <w:szCs w:val="17"/>
                <w:color w:val="auto"/>
              </w:rPr>
            </w:pPr>
          </w:p>
        </w:tc>
        <w:tc>
          <w:tcPr>
            <w:tcW w:w="14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auto"/>
            </w:tcBorders>
            <w:shd w:val="clear" w:color="auto" w:fill="CCEECC"/>
          </w:tcPr>
          <w:p>
            <w:pPr>
              <w:spacing w:after="0"/>
              <w:rPr>
                <w:sz w:val="17"/>
                <w:szCs w:val="17"/>
                <w:color w:val="auto"/>
              </w:rPr>
            </w:pPr>
          </w:p>
        </w:tc>
        <w:tc>
          <w:tcPr>
            <w:tcW w:w="880" w:type="dxa"/>
            <w:vAlign w:val="bottom"/>
            <w:tcBorders>
              <w:top w:val="single" w:sz="8" w:color="auto"/>
            </w:tcBorders>
            <w:shd w:val="clear" w:color="auto" w:fill="CCEECC"/>
          </w:tcPr>
          <w:p>
            <w:pPr>
              <w:spacing w:after="0"/>
              <w:rPr>
                <w:sz w:val="17"/>
                <w:szCs w:val="17"/>
                <w:color w:val="auto"/>
              </w:rPr>
            </w:pPr>
          </w:p>
        </w:tc>
        <w:tc>
          <w:tcPr>
            <w:tcW w:w="280" w:type="dxa"/>
            <w:vAlign w:val="bottom"/>
            <w:tcBorders>
              <w:top w:val="single" w:sz="8" w:color="CCEECC"/>
            </w:tcBorders>
            <w:shd w:val="clear" w:color="auto" w:fill="CCEECC"/>
          </w:tcPr>
          <w:p>
            <w:pPr>
              <w:spacing w:after="0"/>
              <w:rPr>
                <w:sz w:val="17"/>
                <w:szCs w:val="17"/>
                <w:color w:val="auto"/>
              </w:rPr>
            </w:pPr>
          </w:p>
        </w:tc>
        <w:tc>
          <w:tcPr>
            <w:tcW w:w="20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auto"/>
            </w:tcBorders>
            <w:shd w:val="clear" w:color="auto" w:fill="CCEECC"/>
          </w:tcPr>
          <w:p>
            <w:pPr>
              <w:spacing w:after="0"/>
              <w:rPr>
                <w:sz w:val="17"/>
                <w:szCs w:val="17"/>
                <w:color w:val="auto"/>
              </w:rPr>
            </w:pPr>
          </w:p>
        </w:tc>
        <w:tc>
          <w:tcPr>
            <w:tcW w:w="920" w:type="dxa"/>
            <w:vAlign w:val="bottom"/>
            <w:tcBorders>
              <w:top w:val="single" w:sz="8" w:color="auto"/>
            </w:tcBorders>
            <w:shd w:val="clear" w:color="auto" w:fill="CCEECC"/>
          </w:tcPr>
          <w:p>
            <w:pPr>
              <w:spacing w:after="0"/>
              <w:rPr>
                <w:sz w:val="17"/>
                <w:szCs w:val="17"/>
                <w:color w:val="auto"/>
              </w:rPr>
            </w:pPr>
          </w:p>
        </w:tc>
        <w:tc>
          <w:tcPr>
            <w:tcW w:w="240" w:type="dxa"/>
            <w:vAlign w:val="bottom"/>
            <w:tcBorders>
              <w:top w:val="single" w:sz="8" w:color="CCEECC"/>
            </w:tcBorders>
            <w:shd w:val="clear" w:color="auto" w:fill="CCEECC"/>
          </w:tcPr>
          <w:p>
            <w:pPr>
              <w:spacing w:after="0"/>
              <w:rPr>
                <w:sz w:val="17"/>
                <w:szCs w:val="17"/>
                <w:color w:val="auto"/>
              </w:rPr>
            </w:pPr>
          </w:p>
        </w:tc>
        <w:tc>
          <w:tcPr>
            <w:tcW w:w="20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auto"/>
            </w:tcBorders>
            <w:shd w:val="clear" w:color="auto" w:fill="CCEECC"/>
          </w:tcPr>
          <w:p>
            <w:pPr>
              <w:spacing w:after="0"/>
              <w:rPr>
                <w:sz w:val="17"/>
                <w:szCs w:val="17"/>
                <w:color w:val="auto"/>
              </w:rPr>
            </w:pPr>
          </w:p>
        </w:tc>
        <w:tc>
          <w:tcPr>
            <w:tcW w:w="920" w:type="dxa"/>
            <w:vAlign w:val="bottom"/>
            <w:tcBorders>
              <w:top w:val="single" w:sz="8" w:color="auto"/>
            </w:tcBorders>
            <w:shd w:val="clear" w:color="auto" w:fill="CCEECC"/>
          </w:tcPr>
          <w:p>
            <w:pPr>
              <w:spacing w:after="0"/>
              <w:rPr>
                <w:sz w:val="17"/>
                <w:szCs w:val="17"/>
                <w:color w:val="auto"/>
              </w:rPr>
            </w:pPr>
          </w:p>
        </w:tc>
        <w:tc>
          <w:tcPr>
            <w:tcW w:w="240" w:type="dxa"/>
            <w:vAlign w:val="bottom"/>
            <w:tcBorders>
              <w:top w:val="single" w:sz="8" w:color="CCEECC"/>
            </w:tcBorders>
            <w:shd w:val="clear" w:color="auto" w:fill="CCEECC"/>
          </w:tcPr>
          <w:p>
            <w:pPr>
              <w:spacing w:after="0"/>
              <w:rPr>
                <w:sz w:val="17"/>
                <w:szCs w:val="17"/>
                <w:color w:val="auto"/>
              </w:rPr>
            </w:pPr>
          </w:p>
        </w:tc>
        <w:tc>
          <w:tcPr>
            <w:tcW w:w="20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auto"/>
            </w:tcBorders>
            <w:shd w:val="clear" w:color="auto" w:fill="CCEECC"/>
          </w:tcPr>
          <w:p>
            <w:pPr>
              <w:spacing w:after="0"/>
              <w:rPr>
                <w:sz w:val="17"/>
                <w:szCs w:val="17"/>
                <w:color w:val="auto"/>
              </w:rPr>
            </w:pPr>
          </w:p>
        </w:tc>
        <w:tc>
          <w:tcPr>
            <w:tcW w:w="90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color w:val="auto"/>
              </w:rPr>
              <w:t>Three Months Ended March 31, 2013: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740" w:type="dxa"/>
            <w:vAlign w:val="bottom"/>
            <w:tcBorders>
              <w:top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376,084</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13,908</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16,712</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406,659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211,505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20,968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243,526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164,579</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(4,256</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163,133</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4,780</w:t>
            </w: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(90,460)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(26,085)</w:t>
            </w: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(23,567)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(117,159</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(111,798</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6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47,420</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5,028</w:t>
            </w: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51,335</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Three Months Ended March 31, 2012:</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740" w:type="dxa"/>
            <w:vAlign w:val="bottom"/>
            <w:tcBorders>
              <w:top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164,192</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658</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(304)</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164,546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82,879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81,313</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(2,737</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78,419</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2,312</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(46,526)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(3,535)</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(46,836</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(48,300</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6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34,477</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(4,358</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30,119</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March 31, 2013</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5,713,500</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430,915</w:t>
            </w:r>
          </w:p>
        </w:tc>
        <w:tc>
          <w:tcPr>
            <w:tcW w:w="2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1,103,600</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7,248,015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December 31, 2012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4,461,755</w:t>
            </w:r>
          </w:p>
        </w:tc>
        <w:tc>
          <w:tcPr>
            <w:tcW w:w="1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551,733</w:t>
            </w:r>
          </w:p>
        </w:tc>
        <w:tc>
          <w:tcPr>
            <w:tcW w:w="2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658,394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5,671,882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March 31, 2012</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3,530,184</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964,327</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4,494,511</w:t>
            </w:r>
          </w:p>
        </w:tc>
        <w:tc>
          <w:tcPr>
            <w:tcW w:w="0" w:type="dxa"/>
            <w:vAlign w:val="bottom"/>
          </w:tcPr>
          <w:p>
            <w:pPr>
              <w:spacing w:after="0"/>
              <w:rPr>
                <w:sz w:val="1"/>
                <w:szCs w:val="1"/>
                <w:color w:val="auto"/>
              </w:rPr>
            </w:pPr>
          </w:p>
        </w:tc>
      </w:tr>
      <w:tr>
        <w:trPr>
          <w:trHeight w:val="405"/>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(1) Depreciation and amortization expense are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Items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Servicing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Borders>
              <w:top w:val="single" w:sz="8" w:color="CCEECC"/>
            </w:tcBorders>
            <w:gridSpan w:val="2"/>
            <w:shd w:val="clear" w:color="auto" w:fill="CCEECC"/>
          </w:tcPr>
          <w:p>
            <w:pPr>
              <w:spacing w:after="0" w:line="170" w:lineRule="exact"/>
              <w:rPr>
                <w:sz w:val="20"/>
                <w:szCs w:val="20"/>
                <w:color w:val="auto"/>
              </w:rPr>
            </w:pPr>
            <w:r>
              <w:rPr>
                <w:rFonts w:ascii="Arial" w:cs="Arial" w:eastAsia="Arial" w:hAnsi="Arial"/>
                <w:sz w:val="18"/>
                <w:szCs w:val="18"/>
                <w:color w:val="auto"/>
              </w:rPr>
              <w:t>Three Months Ended March 31, 2013:</w:t>
            </w:r>
          </w:p>
        </w:tc>
        <w:tc>
          <w:tcPr>
            <w:tcW w:w="134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22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1740" w:type="dxa"/>
            <w:vAlign w:val="bottom"/>
            <w:tcBorders>
              <w:top w:val="single" w:sz="8" w:color="CCEECC"/>
            </w:tcBorders>
          </w:tcPr>
          <w:p>
            <w:pPr>
              <w:spacing w:after="0"/>
              <w:rPr>
                <w:sz w:val="18"/>
                <w:szCs w:val="18"/>
                <w:color w:val="auto"/>
              </w:rPr>
            </w:pPr>
          </w:p>
        </w:tc>
        <w:tc>
          <w:tcPr>
            <w:tcW w:w="146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Borders>
              <w:top w:val="single" w:sz="8" w:color="CCEECC"/>
            </w:tcBorders>
          </w:tcPr>
          <w:p>
            <w:pPr>
              <w:spacing w:after="0"/>
              <w:rPr>
                <w:sz w:val="18"/>
                <w:szCs w:val="18"/>
                <w:color w:val="auto"/>
              </w:rPr>
            </w:pPr>
          </w:p>
        </w:tc>
        <w:tc>
          <w:tcPr>
            <w:tcW w:w="380" w:type="dxa"/>
            <w:vAlign w:val="bottom"/>
            <w:tcBorders>
              <w:top w:val="single" w:sz="8" w:color="CCEEC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CC"/>
            </w:tcBorders>
            <w:gridSpan w:val="2"/>
          </w:tcPr>
          <w:p>
            <w:pPr>
              <w:jc w:val="right"/>
              <w:ind w:right="220"/>
              <w:spacing w:after="0"/>
              <w:rPr>
                <w:sz w:val="20"/>
                <w:szCs w:val="20"/>
                <w:color w:val="auto"/>
              </w:rPr>
            </w:pPr>
            <w:r>
              <w:rPr>
                <w:rFonts w:ascii="Arial" w:cs="Arial" w:eastAsia="Arial" w:hAnsi="Arial"/>
                <w:sz w:val="18"/>
                <w:szCs w:val="18"/>
                <w:color w:val="auto"/>
              </w:rPr>
              <w:t>234</w:t>
            </w:r>
          </w:p>
        </w:tc>
        <w:tc>
          <w:tcPr>
            <w:tcW w:w="320" w:type="dxa"/>
            <w:vAlign w:val="bottom"/>
            <w:tcBorders>
              <w:top w:val="single" w:sz="8" w:color="CCEECC"/>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CC"/>
            </w:tcBorders>
            <w:gridSpan w:val="2"/>
          </w:tcPr>
          <w:p>
            <w:pPr>
              <w:jc w:val="right"/>
              <w:ind w:right="220"/>
              <w:spacing w:after="0"/>
              <w:rPr>
                <w:sz w:val="20"/>
                <w:szCs w:val="20"/>
                <w:color w:val="auto"/>
              </w:rPr>
            </w:pPr>
            <w:r>
              <w:rPr>
                <w:rFonts w:ascii="Arial" w:cs="Arial" w:eastAsia="Arial" w:hAnsi="Arial"/>
                <w:sz w:val="18"/>
                <w:szCs w:val="18"/>
                <w:color w:val="auto"/>
              </w:rPr>
              <w:t>1,580</w:t>
            </w:r>
          </w:p>
        </w:tc>
        <w:tc>
          <w:tcPr>
            <w:tcW w:w="340" w:type="dxa"/>
            <w:vAlign w:val="bottom"/>
            <w:tcBorders>
              <w:top w:val="single" w:sz="8" w:color="CCEECC"/>
            </w:tcBorders>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10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1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47,883</w:t>
            </w:r>
          </w:p>
        </w:tc>
        <w:tc>
          <w:tcPr>
            <w:tcW w:w="2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Amortization of debt issuance costs – SSTL</w:t>
            </w:r>
          </w:p>
        </w:tc>
        <w:tc>
          <w:tcPr>
            <w:tcW w:w="1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392"/>
        </w:trPr>
        <w:tc>
          <w:tcPr>
            <w:tcW w:w="4500" w:type="dxa"/>
            <w:vAlign w:val="bottom"/>
            <w:gridSpan w:val="3"/>
          </w:tcPr>
          <w:p>
            <w:pPr>
              <w:spacing w:after="0"/>
              <w:rPr>
                <w:sz w:val="20"/>
                <w:szCs w:val="20"/>
                <w:color w:val="auto"/>
              </w:rPr>
            </w:pPr>
            <w:r>
              <w:rPr>
                <w:rFonts w:ascii="Arial" w:cs="Arial" w:eastAsia="Arial" w:hAnsi="Arial"/>
                <w:sz w:val="18"/>
                <w:szCs w:val="18"/>
                <w:color w:val="auto"/>
              </w:rPr>
              <w:t>Three Months Ended March 31, 2012:</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Depreciation expense</w:t>
            </w: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255</w:t>
            </w:r>
          </w:p>
        </w:tc>
        <w:tc>
          <w:tcPr>
            <w:tcW w:w="3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578</w:t>
            </w:r>
          </w:p>
        </w:tc>
        <w:tc>
          <w:tcPr>
            <w:tcW w:w="340" w:type="dxa"/>
            <w:vAlign w:val="bottom"/>
            <w:gridSpan w:val="2"/>
            <w:shd w:val="clear" w:color="auto" w:fill="CCEECC"/>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Amortization of MSRs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14,314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Amortization of debt discount</w:t>
            </w:r>
          </w:p>
        </w:tc>
        <w:tc>
          <w:tcPr>
            <w:tcW w:w="1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Amortization of debt issuance costs – SSTL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189" w:lineRule="exact"/>
        <w:rPr>
          <w:sz w:val="20"/>
          <w:szCs w:val="20"/>
          <w:color w:val="auto"/>
        </w:rPr>
      </w:pPr>
    </w:p>
    <w:p>
      <w:pPr>
        <w:ind w:right="540" w:firstLine="324"/>
        <w:spacing w:after="0" w:line="257" w:lineRule="auto"/>
        <w:rPr>
          <w:sz w:val="20"/>
          <w:szCs w:val="20"/>
          <w:color w:val="auto"/>
        </w:rPr>
      </w:pPr>
      <w:r>
        <w:rPr>
          <w:rFonts w:ascii="Arial" w:cs="Arial" w:eastAsia="Arial" w:hAnsi="Arial"/>
          <w:sz w:val="18"/>
          <w:szCs w:val="18"/>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March 31, 2013, Mr. Erbey owned or controlled approximately 13% of the common stock of Ocwen, approximately 26% of the common stock of Altisource, approximately 2% of the common stock of HLSS, approximately 24% of the common stock of Residential and approximately 24% of the common stock of AAMC.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02"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Under the Services Agreement, Altisource provides various business process outsourcing services, such as valuation services and property preservation and inspection services, among other things. Altisource also provides certain technology products and support services to Ocwen under the Technology Products Services Agreement and the Data Center and Disaster Recovery Services Agreement. In addition, under the Data Access and Services Agreement, Ocwen has agreed to make available to Altisource certain data from Ocwen’s servicing portfolio in exchange for a per asset fee.</w:t>
      </w:r>
    </w:p>
    <w:p>
      <w:pPr>
        <w:spacing w:after="0" w:line="11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Under the Support Services Agreement, Ocwen and Altisource provide to each other services which are similar to those that Ocwen and Altisource provided to each other pursuant to the former Transition Services Agreement that expired August 10, 2012. These services are provided in such areas as human resources, vendor management, corporate services, accounting, tax matters, risk management, law and consumer psychology. The Support Services Agreement has an initial term of five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firstLine="324"/>
        <w:spacing w:after="0" w:line="272" w:lineRule="auto"/>
        <w:rPr>
          <w:sz w:val="20"/>
          <w:szCs w:val="20"/>
          <w:color w:val="auto"/>
        </w:rPr>
      </w:pPr>
      <w:r>
        <w:rPr>
          <w:rFonts w:ascii="Arial" w:cs="Arial" w:eastAsia="Arial" w:hAnsi="Arial"/>
          <w:sz w:val="17"/>
          <w:szCs w:val="17"/>
          <w:color w:val="auto"/>
        </w:rPr>
        <w:t>In connection with the sale to Altisource of the diversified fee-based business acquired in connection with the Homeward Acquisition, Ocwen agreed to extend to August 31, 2025 the terms of the Services Agreement, the Technology Products Services Agreement, the Data Center and Disaster Recovery Services Agreement and the Intellectual Property Agreement with Altisource. In addition, Ocwen agreed to expand the terms of the Services Agreement to apply to the services as they relate to the Homeward servicing platform and further to establish Altisource as the exclusive provider of such services as they relate to the Homeward servicing platform. In addition, Ocwen agreed not to establish similar fee-based businesses (or establish relationships with other companies engaged in the line of similar fee-based businesses) that would directly or indirectly compete with diversified fee-based businesses as they relate to the Homeward servicing platform acquired by Altisource.</w:t>
      </w:r>
    </w:p>
    <w:p>
      <w:pPr>
        <w:spacing w:after="0" w:line="13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15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business is currently dependent on many of the services and products provided under these long-term contracts which are effective through 2025. The contracts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disclosed in Note 3 – Business Acquisitions, on March 31, 2013 Ocwen acquired from Altisource its 49% equity interest in Correspondent One.</w:t>
      </w:r>
    </w:p>
    <w:p>
      <w:pPr>
        <w:spacing w:after="0" w:line="19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On December 27, 2012, we entered into a senior unsecured term loan facility agreement with Altisource and borrowed $75.0 million. The proceeds of this loan were used to fund a portion of the Homeward Acquisition. Borrowings under the Unsecured Loan Agreement bear interest at a rate equal to the one-month Eurodollar Rate (1-Month LIBOR) plus 675 basis points with a Eurodollar Rate floor of 150 basis points. In February 2013, we repaid this loan in full.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4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disclosed in Note 4 – Asset Sales and Financing, Ocwen has sold to HLSS certain Rights to MSRs and related servicing advances. OLS also entered into a subservicing agreement with HLSS on February 10, 2012 under which it will subservice the MSRs after legal ownership of the MSRs has been transferred to HLSS.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OMS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February 14, 2013, OLS sold a pool of non-performing residential mortgage loans to Altisource Residential, L.P. pursuant to a Master Mortgage Loan Sale Agreement. The aggregate purchase price for the pool of loans was $64.4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w:t>
      </w:r>
    </w:p>
    <w:p>
      <w:pPr>
        <w:spacing w:after="0" w:line="8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disclosed in Note 1 – Summary of Significant Accounting Policies, we completed the Homeward Acquisition on December 27, 2012. As consideration for the Homeward Acquisition, Ocwen paid an aggregate purchase price of approximately $766 million, of which approximately $604 million was paid in cash and $162 million was paid in 162,000 Preferred Shares issued to certain private equity firms ultimately controlled by WL Ross &amp; Co. LLC (the Funds), that will pay a dividend of 3.75% per annum on a quarterly basis. Each Preferred Share, together with any accrued and unpaid dividends, may be converted into shares of Ocwen common stock at the option of the holder at a conversion price equal to $31.79. Mr. Ross, a director of Ocwen, is the Chairman and Chief Executive Officer of WL Ross &amp; Co. LLC and Invesco Private Capital, Inc. and the managing member of El Vedado, LLC, each of which directly or indirectly controls the Funds.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280" w:firstLine="324"/>
        <w:spacing w:after="0" w:line="277" w:lineRule="auto"/>
        <w:rPr>
          <w:sz w:val="20"/>
          <w:szCs w:val="20"/>
          <w:color w:val="auto"/>
        </w:rPr>
      </w:pPr>
      <w:r>
        <w:rPr>
          <w:rFonts w:ascii="Arial" w:cs="Arial" w:eastAsia="Arial" w:hAnsi="Arial"/>
          <w:sz w:val="18"/>
          <w:szCs w:val="18"/>
          <w:color w:val="auto"/>
        </w:rPr>
        <w:t>The following table summarizes our revenues and expenses related to the various service agreements with Altisource and HLSS for periods indicated, and amounts receivable from or payable to at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84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Revenues and Expenses:</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Altisource: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4,233</w:t>
            </w:r>
          </w:p>
        </w:tc>
        <w:tc>
          <w:tcPr>
            <w:tcW w:w="4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3,612</w:t>
            </w: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6,530</w:t>
            </w:r>
          </w:p>
        </w:tc>
      </w:tr>
      <w:tr>
        <w:trPr>
          <w:trHeight w:val="216"/>
        </w:trPr>
        <w:tc>
          <w:tcPr>
            <w:tcW w:w="8460" w:type="dxa"/>
            <w:vAlign w:val="bottom"/>
            <w:shd w:val="clear" w:color="auto" w:fill="CCEECC"/>
          </w:tcPr>
          <w:p>
            <w:pPr>
              <w:ind w:left="140"/>
              <w:spacing w:after="0"/>
              <w:rPr>
                <w:sz w:val="20"/>
                <w:szCs w:val="20"/>
                <w:color w:val="auto"/>
              </w:rPr>
            </w:pPr>
            <w:r>
              <w:rPr>
                <w:rFonts w:ascii="Arial" w:cs="Arial" w:eastAsia="Arial" w:hAnsi="Arial"/>
                <w:sz w:val="18"/>
                <w:szCs w:val="18"/>
                <w:b w:val="1"/>
                <w:bCs w:val="1"/>
                <w:color w:val="auto"/>
              </w:rPr>
              <w:t>HLSS:</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Revenues</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00" w:type="dxa"/>
            <w:vAlign w:val="bottom"/>
            <w:tcBorders>
              <w:bottom w:val="single" w:sz="8" w:color="CCEECC"/>
            </w:tcBorders>
          </w:tcPr>
          <w:p>
            <w:pPr>
              <w:spacing w:after="0"/>
              <w:rPr>
                <w:sz w:val="20"/>
                <w:szCs w:val="20"/>
                <w:color w:val="auto"/>
              </w:rPr>
            </w:pPr>
          </w:p>
        </w:tc>
        <w:tc>
          <w:tcPr>
            <w:tcW w:w="79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882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Net Receivable (Payable)</w:t>
            </w:r>
          </w:p>
        </w:tc>
        <w:tc>
          <w:tcPr>
            <w:tcW w:w="10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900" w:type="dxa"/>
            <w:vAlign w:val="bottom"/>
          </w:tcPr>
          <w:p>
            <w:pPr>
              <w:ind w:left="140"/>
              <w:spacing w:after="0"/>
              <w:rPr>
                <w:sz w:val="20"/>
                <w:szCs w:val="20"/>
                <w:color w:val="auto"/>
              </w:rPr>
            </w:pPr>
            <w:r>
              <w:rPr>
                <w:rFonts w:ascii="Arial" w:cs="Arial" w:eastAsia="Arial" w:hAnsi="Arial"/>
                <w:sz w:val="18"/>
                <w:szCs w:val="18"/>
                <w:color w:val="auto"/>
                <w:w w:val="93"/>
              </w:rPr>
              <w:t>Altisource</w:t>
            </w:r>
          </w:p>
        </w:tc>
        <w:tc>
          <w:tcPr>
            <w:tcW w:w="8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(40,376)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(5,971)</w:t>
            </w:r>
          </w:p>
        </w:tc>
      </w:tr>
      <w:tr>
        <w:trPr>
          <w:trHeight w:val="230"/>
        </w:trPr>
        <w:tc>
          <w:tcPr>
            <w:tcW w:w="9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HLSS</w:t>
            </w:r>
          </w:p>
        </w:tc>
        <w:tc>
          <w:tcPr>
            <w:tcW w:w="79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20,540</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(25,524)</w:t>
            </w:r>
          </w:p>
        </w:tc>
      </w:tr>
      <w:tr>
        <w:trPr>
          <w:trHeight w:val="223"/>
        </w:trPr>
        <w:tc>
          <w:tcPr>
            <w:tcW w:w="9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NOTE 23</w:t>
            </w:r>
          </w:p>
        </w:tc>
        <w:tc>
          <w:tcPr>
            <w:tcW w:w="8020" w:type="dxa"/>
            <w:vAlign w:val="bottom"/>
            <w:gridSpan w:val="2"/>
          </w:tcPr>
          <w:p>
            <w:pPr>
              <w:jc w:val="right"/>
              <w:ind w:right="5125"/>
              <w:spacing w:after="0"/>
              <w:rPr>
                <w:sz w:val="20"/>
                <w:szCs w:val="20"/>
                <w:color w:val="auto"/>
              </w:rPr>
            </w:pPr>
            <w:r>
              <w:rPr>
                <w:rFonts w:ascii="Arial" w:cs="Arial" w:eastAsia="Arial" w:hAnsi="Arial"/>
                <w:sz w:val="18"/>
                <w:szCs w:val="18"/>
                <w:b w:val="1"/>
                <w:bCs w:val="1"/>
                <w:color w:val="auto"/>
              </w:rPr>
              <w:t>REGULATORY REQUIREMENTS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the Federal Trade Commission (FTC), the SEC and various state agencies that license, audit and conduct examinations of our mortgage originations, servicing and collection activities in a number of states. The CFPB asserts supervisory authority (including the authority to conduct examinations) over Ocwen and its affiliates, including Homeward. From time to time, we also receive requests from federal, state and local agencies for records, documents and information relating to our policies, procedures and practices regarding our loan origination, loan servicing and debt collection business activities. We incur significant ongoing costs to comply with new and existing laws and governmental regulation of our business.</w:t>
      </w:r>
    </w:p>
    <w:p>
      <w:pPr>
        <w:spacing w:after="0" w:line="12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mortgage origination, mortgage servicing and foreclosure laws. These laws apply to loan origination, loan servicing,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40"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24</w:t>
        <w:tab/>
        <w:t>COMMITMENTS AND CONTINGENCIES</w:t>
      </w:r>
    </w:p>
    <w:p>
      <w:pPr>
        <w:spacing w:after="0" w:line="18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Litigation Contingencies</w:t>
      </w:r>
    </w:p>
    <w:p>
      <w:pPr>
        <w:spacing w:after="0" w:line="18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 million and punitive damages jointly and severally against all defendants. In April 2008, Ocwen filed an answer denying all charges and a counterclaim for breach of contract, fraud, negligent misrepresentation and indemnification in connection with the MSR purchase transaction. On August 30, 2012, the Bankruptcy Court entered an order granting Ocwen’s motion for partial summary judgment and denying the Trustee’s motion for partial summary judgment. This order effectively rejects the bulk of the Trustee’s damage claims against Ocwen. In light of this order, the parties entered into a definitive written settlement agreement that provides for a final resolution and termination of this matter. This settlement has been approved by the Bankruptcy Court, and Ocwen’s involvement in the matter has ended. This settlement did not have a material effect on our financial condition,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89"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an independent Monitor to oversee our compliance with the Agreement on Servicing Practices. Ocwen’s understanding is that NY DFS has selected the firm which will act as the Monitor, and we intend to continue to cooperate with the NY DFS and the Monitor once the NY DFS and the Monitor finalize the terms of the engagement. On August 13, 2012, OLS received a request from the Multi-State Mortgage Committee of the Conference of State Bank Supervisors (MMC) to provide information and data relating to our loan servicing portfolio, including loan count and volume data, loan modifications, fees assessed, delinquencies, short sales, loan-to-value data and rating agency reports. The MMC, along with the CFPB, certain state Attorneys General and other agencies who were involved in the National Mortgage Settlement executed on February 9, 2012 by the five large banks, also requested that we indicate our position on behalf of OLS and Litton on the servicing standards and consumer relief provisions contained in that settlement.</w:t>
      </w:r>
    </w:p>
    <w:p>
      <w:pPr>
        <w:spacing w:after="0" w:line="1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cooperating with and providing requested information to each of the agencies involved in the foregoing actions. Specifically in response to the request from the MMC, CFPB, state Attorneys General and other agencies, we indicated our willingness to adopt the servicing standards set out in the National Mortgage Settlement with certain caveats. We further indicated our willingness to undertake various consumer assistance commitments in the form of loan modifications and other foreclosure avoidance alternatives. On February 26, 2013, the MMC, CFPB and state Attorneys General requested that we consider a proposal to contribute to a consumer relief fund that would provide cash payments to borrowers foreclosed upon by OLS and various entities we have acquired. We believe the maximum liability under this proposal would be approximately $135.0 million. We do not believe such a contribution from us is warranted under the circumstances and have so notified the requesting parties. Nevertheless, in an attempt to bring finality to this matter, we have entered into discussions with the requesting parties while reserving all our rights and defenses. It is reasonably possible, however, that a resolution may not be concluded in which case legal proceedings could ensue which we would defend vigorously. At this time, the amounts, if any, that ultimately could be incurred with regard to this matter are not reasonably estimable.</w:t>
      </w:r>
    </w:p>
    <w:p>
      <w:pPr>
        <w:spacing w:after="0" w:line="151"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On November 30, 2012, prior to our completion of the Homeward Acquisition, two CIDs were issued to Homeward by the U.S. Department of Justice, Eastern District of Texas, as part of an investigation of whether Homeward violated the False Claims Act in connection with its participation in HAMP. We were advised by Homeward that documents and information have been provided pursuant to these CIDs. The investigation remains open, and we intend to cooperate in the event there are further informational requests.</w:t>
      </w:r>
    </w:p>
    <w:p>
      <w:pPr>
        <w:spacing w:after="0" w:line="14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As part of the ResCap Acquisition, OLS is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 The Office of Mortgage Settlement Oversight, which is responsible for monitoring compliance with obligations under the National Mortgage Settlement, issued a report on February 14, 2013 confirming that Ally/ResCap have completed its minimum consumer relief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ind w:right="60" w:firstLine="324"/>
        <w:spacing w:after="0" w:line="312" w:lineRule="auto"/>
        <w:rPr>
          <w:sz w:val="20"/>
          <w:szCs w:val="20"/>
          <w:color w:val="auto"/>
        </w:rPr>
      </w:pPr>
      <w:r>
        <w:rPr>
          <w:rFonts w:ascii="Arial" w:cs="Arial" w:eastAsia="Arial" w:hAnsi="Arial"/>
          <w:sz w:val="16"/>
          <w:szCs w:val="16"/>
          <w:color w:val="auto"/>
        </w:rPr>
        <w:t>One or more of the foregoing regulatory actions or similar actions in the future against Ocwen, OLS, Litton or Homeward could cause us to incur fines, penalties, settlement costs, damages, legal fees or other charges in material amounts, or undertake remedial actions pursuant to administrative orders or court-issued injunctions, any of which could adversely affect our financial results or incur additional significant costs related to our loan servicing operations.</w:t>
      </w:r>
    </w:p>
    <w:p>
      <w:pPr>
        <w:spacing w:after="0" w:line="10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state and federal agencies as part of those agencies’ oversight of the mortgage servicing sector. Such ongoing inquiries, including those into servicer foreclosure processes, could result in additional actions by state or federal governmental bodies, regulators or the courts that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8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In connection with these actions, Ocwen is in the process of negotiating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7"/>
          <w:szCs w:val="17"/>
          <w:b w:val="1"/>
          <w:bCs w:val="1"/>
          <w:color w:val="auto"/>
        </w:rPr>
        <w:t>SUBSEQUENT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Genworth Acquisition</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October 26, 2012, Ocwen and Genworth Financial, Inc. (GNW) entered into an agreement whereby Ocwen will acquire Genworth Financial Home Equity Access, Inc. for approximately $22.0 million in cash. The company, which will be renamed Liberty Home Equity Solutions, Inc. is the leading reverse mortgage originator based on January 2013 industry data with strong positions in both retail and wholesale originations. The acquisition closed on April 1, 2013.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Ally Bank MSR Acquisition</w:t>
      </w:r>
    </w:p>
    <w:p>
      <w:pPr>
        <w:spacing w:after="0" w:line="20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March 8, 2013, OLS and Ally Bank, a wholly owned subsidiary of Ally, entered into a Mortgage Servicing Rights Purchase and Sale Agreement whereby OLS agreed to acquire Freddie Mac and Fannie Mae MSRs and the servicing advances related to loans with a UPB of approximately $85.0 billion as of January 31, 2013. We also agreed to acquire MSRs related to loans with an estimated UPB of $5.0 billion from commitments made by Ally prior to February 28, 2013. The estimated purchase price was approximately $600.0 million, net of assumed liabilities. We assumed the origination representation and warranty obligations in connection with a majority of the acquired MSRs. The transaction will close in stages, with the initial closing on April 1, 2013 and the final closing expected in July 2013. We had been subservicing these MSRs via a prior agreement with ResCap on behalf of Ally under a subservicing contract assumed by us in connection with the ResCap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Sale of ResCap Fee-Based Businesses to Altisource</w:t>
      </w:r>
    </w:p>
    <w:p>
      <w:pPr>
        <w:spacing w:after="0" w:line="1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April 12, 2013, Ocwen and OMS entered into an Agreement (the “Agreement”) with Altisource to extend terms related to the existing servicing arrangements between Altisource and Ocwen for mortgage servicing assets acquired from ResCap.</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Agreement provides that during the term of the existing servicing arrangements (which currently have terms expiring on August 31, 2025, subject to certain renewal rights) between Altisource and Ocwen, (i) Altisource will be the exclusive provider, except as prohibited by applicable law, to Ocwen and all of its subsidiaries and affiliates, of certain services related to the ResCap business; (ii) Ocwen will not establish similar fee-based businesses that would directly or indirectly compete with Altisource services as they relate to the ResCap business; and (iii) Ocwen and all of its subsidiaries and affiliates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The cash consideration paid or payable by Altisource to Ocwen under the Agreement totals $128.8 million, $80.0 million of which was paid on April 12, 2013, with the remaining $48.8 million to be paid in monthly installments for up to five months following the closing.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or If Otherwise Indicated)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discussion of our results of operations, change in financial condition and liquidity should be read in conjunction with our unaudited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Interim Consolidated Financial Statements and the related notes, all included elsewhere in this report on Form 10-Q and with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Summary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events affecting the first quarter of 2013 include:</w:t>
      </w:r>
    </w:p>
    <w:p>
      <w:pPr>
        <w:spacing w:after="0" w:line="18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15, 2013, we completed the ResCap Acquisition:</w:t>
      </w:r>
    </w:p>
    <w:p>
      <w:pPr>
        <w:spacing w:after="0" w:line="225" w:lineRule="exact"/>
        <w:rPr>
          <w:rFonts w:ascii="Arial" w:cs="Arial" w:eastAsia="Arial" w:hAnsi="Arial"/>
          <w:sz w:val="18"/>
          <w:szCs w:val="18"/>
          <w:color w:val="auto"/>
        </w:rPr>
      </w:pPr>
    </w:p>
    <w:p>
      <w:pPr>
        <w:ind w:left="980" w:right="20" w:hanging="324"/>
        <w:spacing w:after="0" w:line="257" w:lineRule="auto"/>
        <w:rPr>
          <w:rFonts w:ascii="Arial" w:cs="Arial" w:eastAsia="Arial" w:hAnsi="Arial"/>
          <w:sz w:val="18"/>
          <w:szCs w:val="18"/>
          <w:color w:val="auto"/>
        </w:rPr>
      </w:pPr>
      <w:r>
        <w:rPr>
          <w:rFonts w:ascii="Arial" w:cs="Arial" w:eastAsia="Arial" w:hAnsi="Arial"/>
          <w:sz w:val="18"/>
          <w:szCs w:val="18"/>
          <w:color w:val="auto"/>
        </w:rPr>
        <w:t>o Acquired MSRs to “private label” loans of approximately $49.6 billion in UPB, $19.2 billion of Freddie Mac loans, $38.5 billion of Ginnie Mae loans and $42.1 billion of loans under master servicing agreements. We also assumed the subservicing contracts for approximately $25.9 billion of loans. In addition, until certain consents and court approvals are obtained by ResCap, we will subservice approximately $9.0 billion of UPB of private label MSRs that will remain with the ResCap estate. When such consents and approvals are obtained, we expect to purchase those MSRs as well.</w:t>
      </w:r>
    </w:p>
    <w:p>
      <w:pPr>
        <w:spacing w:after="0" w:line="188" w:lineRule="exact"/>
        <w:rPr>
          <w:rFonts w:ascii="Arial" w:cs="Arial" w:eastAsia="Arial" w:hAnsi="Arial"/>
          <w:sz w:val="18"/>
          <w:szCs w:val="18"/>
          <w:color w:val="auto"/>
        </w:rPr>
      </w:pPr>
    </w:p>
    <w:p>
      <w:pPr>
        <w:ind w:left="980" w:right="40" w:hanging="324"/>
        <w:spacing w:after="0" w:line="264" w:lineRule="auto"/>
        <w:rPr>
          <w:rFonts w:ascii="Arial" w:cs="Arial" w:eastAsia="Arial" w:hAnsi="Arial"/>
          <w:sz w:val="18"/>
          <w:szCs w:val="18"/>
          <w:color w:val="auto"/>
        </w:rPr>
      </w:pPr>
      <w:r>
        <w:rPr>
          <w:rFonts w:ascii="Arial" w:cs="Arial" w:eastAsia="Arial" w:hAnsi="Arial"/>
          <w:sz w:val="18"/>
          <w:szCs w:val="18"/>
          <w:color w:val="auto"/>
        </w:rPr>
        <w:t>o Paid an aggregate purchase price, net of assumed liabilities, of approximately $2.1 billion, subject to post-closing adjustments. Funded the acquisition with $1.2 billion in servicing advance facilities (two new and one existing) and the deployment of $840.0 million of proceeds from a new $1.3 billion SSTL facility.</w:t>
      </w:r>
    </w:p>
    <w:p>
      <w:pPr>
        <w:spacing w:after="0" w:line="181" w:lineRule="exact"/>
        <w:rPr>
          <w:rFonts w:ascii="Arial" w:cs="Arial" w:eastAsia="Arial" w:hAnsi="Arial"/>
          <w:sz w:val="18"/>
          <w:szCs w:val="18"/>
          <w:color w:val="auto"/>
        </w:rPr>
      </w:pPr>
    </w:p>
    <w:p>
      <w:pPr>
        <w:ind w:left="980" w:right="440" w:hanging="324"/>
        <w:spacing w:after="0" w:line="277" w:lineRule="auto"/>
        <w:rPr>
          <w:rFonts w:ascii="Arial" w:cs="Arial" w:eastAsia="Arial" w:hAnsi="Arial"/>
          <w:sz w:val="18"/>
          <w:szCs w:val="18"/>
          <w:color w:val="auto"/>
        </w:rPr>
      </w:pPr>
      <w:r>
        <w:rPr>
          <w:rFonts w:ascii="Arial" w:cs="Arial" w:eastAsia="Arial" w:hAnsi="Arial"/>
          <w:sz w:val="18"/>
          <w:szCs w:val="18"/>
          <w:color w:val="auto"/>
        </w:rPr>
        <w:t>o Used a portion of the proceeds from the new SSTL to pay $328.6 million to retire the existing SSTL facility and $75.0 million to retire the senior unsecured loan agreement with Altisource.</w:t>
      </w:r>
    </w:p>
    <w:p>
      <w:pPr>
        <w:spacing w:after="0" w:line="170" w:lineRule="exact"/>
        <w:rPr>
          <w:rFonts w:ascii="Arial" w:cs="Arial" w:eastAsia="Arial" w:hAnsi="Arial"/>
          <w:sz w:val="18"/>
          <w:szCs w:val="18"/>
          <w:color w:val="auto"/>
        </w:rPr>
      </w:pPr>
    </w:p>
    <w:p>
      <w:pPr>
        <w:ind w:left="980" w:right="20" w:hanging="324"/>
        <w:spacing w:after="0" w:line="264" w:lineRule="auto"/>
        <w:rPr>
          <w:rFonts w:ascii="Arial" w:cs="Arial" w:eastAsia="Arial" w:hAnsi="Arial"/>
          <w:sz w:val="18"/>
          <w:szCs w:val="18"/>
          <w:color w:val="auto"/>
        </w:rPr>
      </w:pPr>
      <w:r>
        <w:rPr>
          <w:rFonts w:ascii="Arial" w:cs="Arial" w:eastAsia="Arial" w:hAnsi="Arial"/>
          <w:sz w:val="18"/>
          <w:szCs w:val="18"/>
          <w:color w:val="auto"/>
        </w:rPr>
        <w:t>o Acquired total assets of approximately $2.0 billion, including $1.6 billion of servicing advances and $393.9 million of MSRs. Assumed liabilities of $74.3 million, primarily representing accruals for compensatory fees for foreclosures that may ultimately exceed investor timelines. We recognized goodwill of $204.7 million in connection with the acquisition.</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Added approximately 2,450 employees.</w:t>
      </w:r>
    </w:p>
    <w:p>
      <w:pPr>
        <w:spacing w:after="0" w:line="225" w:lineRule="exact"/>
        <w:rPr>
          <w:rFonts w:ascii="Arial" w:cs="Arial" w:eastAsia="Arial" w:hAnsi="Arial"/>
          <w:sz w:val="18"/>
          <w:szCs w:val="18"/>
          <w:color w:val="auto"/>
        </w:rPr>
      </w:pPr>
    </w:p>
    <w:p>
      <w:pPr>
        <w:ind w:left="980" w:right="180" w:hanging="324"/>
        <w:spacing w:after="0" w:line="277" w:lineRule="auto"/>
        <w:rPr>
          <w:rFonts w:ascii="Arial" w:cs="Arial" w:eastAsia="Arial" w:hAnsi="Arial"/>
          <w:sz w:val="18"/>
          <w:szCs w:val="18"/>
          <w:color w:val="auto"/>
        </w:rPr>
      </w:pPr>
      <w:r>
        <w:rPr>
          <w:rFonts w:ascii="Arial" w:cs="Arial" w:eastAsia="Arial" w:hAnsi="Arial"/>
          <w:sz w:val="18"/>
          <w:szCs w:val="18"/>
          <w:color w:val="auto"/>
        </w:rPr>
        <w:t>o Provided subservicing for approximately $130.0 billion in UPB of Ally Bank loans. In April, we acquired the MSRs related to $84.6 billion in UPB from Ally Bank, terminating the subservicing contract with respect to the acquired MSRs.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first quarter, we retained MSR assets of $28.7 million on sales of residential mortgage loans with a UPB of $2.6 billion.</w:t>
      </w:r>
    </w:p>
    <w:p>
      <w:pPr>
        <w:spacing w:after="0" w:line="19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we completed a sale to HLSS of Rights to MSRs for loans with approximately $15.9 billion of UPB together with the related match funded servicing advances of $703.2 million:</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Received cash proceeds of $814.3 million.</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Reduced match funded liabilities by $625.8 million representing the repayment of the associated match funded debt.</w:t>
      </w:r>
    </w:p>
    <w:p>
      <w:pPr>
        <w:spacing w:after="0" w:line="198" w:lineRule="exact"/>
        <w:rPr>
          <w:rFonts w:ascii="Arial" w:cs="Arial" w:eastAsia="Arial" w:hAnsi="Arial"/>
          <w:sz w:val="18"/>
          <w:szCs w:val="18"/>
          <w:color w:val="auto"/>
        </w:rPr>
      </w:pPr>
    </w:p>
    <w:p>
      <w:pPr>
        <w:jc w:val="both"/>
        <w:ind w:left="980" w:right="100" w:hanging="324"/>
        <w:spacing w:after="0" w:line="257" w:lineRule="auto"/>
        <w:rPr>
          <w:rFonts w:ascii="Arial" w:cs="Arial" w:eastAsia="Arial" w:hAnsi="Arial"/>
          <w:sz w:val="18"/>
          <w:szCs w:val="18"/>
          <w:color w:val="auto"/>
        </w:rPr>
      </w:pPr>
      <w:r>
        <w:rPr>
          <w:rFonts w:ascii="Arial" w:cs="Arial" w:eastAsia="Arial" w:hAnsi="Arial"/>
          <w:sz w:val="18"/>
          <w:szCs w:val="18"/>
          <w:color w:val="auto"/>
        </w:rPr>
        <w:t>o Accounted for the transaction as a financing until the required third party consents are obtained and legal ownership of the MSRs transfers to HLSS. Ocwen initially sold Rights to MSRs to HLSS rather than the MSRs. As a result, the MSRs remain on our balance sheet and continue to be amortized, and we have recognized a financing liability. The amount of servicing revenues recognized is unchanged as a result of the HLSS Transactions. HLSS purchased the Rights to MSRs for $3.7 million more than Ocwen’s carrying value at the date of sale. This amount will be realized over time as the MSRs amortize.</w:t>
      </w:r>
    </w:p>
    <w:p>
      <w:pPr>
        <w:spacing w:after="0" w:line="147" w:lineRule="exact"/>
        <w:rPr>
          <w:rFonts w:ascii="Arial" w:cs="Arial" w:eastAsia="Arial" w:hAnsi="Arial"/>
          <w:sz w:val="18"/>
          <w:szCs w:val="18"/>
          <w:color w:val="auto"/>
        </w:rPr>
      </w:pPr>
    </w:p>
    <w:p>
      <w:pPr>
        <w:ind w:left="980" w:right="20" w:hanging="324"/>
        <w:spacing w:after="0" w:line="264" w:lineRule="auto"/>
        <w:rPr>
          <w:rFonts w:ascii="Arial" w:cs="Arial" w:eastAsia="Arial" w:hAnsi="Arial"/>
          <w:sz w:val="18"/>
          <w:szCs w:val="18"/>
          <w:color w:val="auto"/>
        </w:rPr>
      </w:pPr>
      <w:r>
        <w:rPr>
          <w:rFonts w:ascii="Arial" w:cs="Arial" w:eastAsia="Arial" w:hAnsi="Arial"/>
          <w:sz w:val="18"/>
          <w:szCs w:val="18"/>
          <w:color w:val="auto"/>
        </w:rPr>
        <w:t>o Increased interest expense because the interest on the portion of the sales proceeds accounted for as a financing is greater than the interest on the match funded liabilities that were assumed by HLSS or repaid, principally because Ocwen is also compensating HLSS for the cost of capital used to fund the transactions.</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Realized a portion of our deferred tax assets related to the Rights to MSRs.</w:t>
      </w:r>
    </w:p>
    <w:p>
      <w:pPr>
        <w:spacing w:after="0" w:line="198"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28, 2013, we closed on the sale of the Homeward diversified fee-based businesses to Altisource and received cash proceeds of $87.0 million. Reduced related goodwill recognized in connection with the Homeward acquisition.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1" w:name="page42"/>
    <w:bookmarkEnd w:id="41"/>
    <w:p>
      <w:pPr>
        <w:ind w:left="340"/>
        <w:spacing w:after="0"/>
        <w:rPr>
          <w:sz w:val="20"/>
          <w:szCs w:val="20"/>
          <w:color w:val="auto"/>
        </w:rPr>
      </w:pPr>
      <w:r>
        <w:rPr>
          <w:rFonts w:ascii="Arial" w:cs="Arial" w:eastAsia="Arial" w:hAnsi="Arial"/>
          <w:sz w:val="17"/>
          <w:szCs w:val="17"/>
          <w:color w:val="auto"/>
        </w:rPr>
        <w:t>In addition to the transactions above which we completed during the first quarter of 2013, we subsequently closed on the following transactions:</w:t>
      </w:r>
    </w:p>
    <w:p>
      <w:pPr>
        <w:spacing w:after="0" w:line="196" w:lineRule="exact"/>
        <w:rPr>
          <w:sz w:val="20"/>
          <w:szCs w:val="20"/>
          <w:color w:val="auto"/>
        </w:rPr>
      </w:pPr>
    </w:p>
    <w:p>
      <w:pPr>
        <w:jc w:val="both"/>
        <w:ind w:left="660" w:hanging="328"/>
        <w:spacing w:after="0" w:line="270"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April 1, 2013, we completed the acquisition of Fannie Mae MSRs and the servicing advances from Ally Bank related to loans with a UPB of approximately $63.4 billion. On April 15, 2013, we completed a second acquisition from Ally Bank of Freddie Mac MSRs related to loans with a UPB of approximately $21.2 billion. In addition, we assumed the origination representation and warranty obligations in connection with the majority of the acquired MSRs. The total purchase price was approximately $600.0 million. As disclosed above, we previously subserviced these loans on behalf of Ally Bank under a subservicing contract assumed by us in connection with the ResCap Acquisition. Upon closing these transactions in April, we also terminated the interest rate swap agreements we had entered into to hedge against changes in the price of the MSRs. Because the final purchase price is dependent on certain market rates, upon entering into the Mortgage Servicing Rights Purchase and Sale Agreement with Ally Bank in March 2013, we entered into interest rate swap agreements with a notional amount of $1.2 billion to hedge against changes in the price of the MSRs due to changes in swap rates. We designated these derivative instruments as hedges.</w:t>
      </w:r>
    </w:p>
    <w:p>
      <w:pPr>
        <w:spacing w:after="0" w:line="154" w:lineRule="exact"/>
        <w:rPr>
          <w:rFonts w:ascii="Arial" w:cs="Arial" w:eastAsia="Arial" w:hAnsi="Arial"/>
          <w:sz w:val="17"/>
          <w:szCs w:val="17"/>
          <w:color w:val="auto"/>
        </w:rPr>
      </w:pPr>
    </w:p>
    <w:p>
      <w:pPr>
        <w:ind w:left="660" w:right="10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1, 2013, we completed the acquisition of Genworth Financial Home Equity Access, Inc. for approximately $22.0 million in cash. The company, which has been renamed Liberty Home Equity Solutions, Inc., is the leading reverse mortgage originator based on industry data for January 2013 with strong positions in both retail and wholesale originations. There is sizable untapped potential in the reverse mortgage market that could sustain future growth. Based on CFPB data, we estimate the total potential size of the reverse mortgage market at $1.9 trillion, of which only about 10% has been penetrated to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Outlook</w:t>
      </w:r>
    </w:p>
    <w:p>
      <w:pPr>
        <w:spacing w:after="0" w:line="189"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We expect that other non-prime and prime servicing platforms and servicing portfolios will come to market in the next several months. We are currently tracking potential MSR acquisition opportunities with a total UPB of approximately $375.0 billion. We believe that servicing and subservicing opportunities with an aggregate UPB of up to $1.0 trillion could come to market in the next 2 to 3 years. To the extent that we find these opportunities to be attractive, we believe that we are positioned to effectively compete for such opportunities in light of our low cost and our high-quality servicing platform. Our technology also provides us the ability to quickly scale our servicing operations to handle acquired loan portfolios.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8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Our business (Homeward Acquisition on December 27, 2012 and ResCap Acquisition on February 15, 2013) and MSR asset acquisitions during the second and third quarters of 2012 have significantly affected our consolidated operating results for the three months ended March 31, 2013. The operating results of the Homeward and ResCap businesses are included in our operating results from their respective acquisition 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right="480" w:firstLine="324"/>
        <w:spacing w:after="0" w:line="258" w:lineRule="auto"/>
        <w:rPr>
          <w:sz w:val="20"/>
          <w:szCs w:val="20"/>
          <w:color w:val="auto"/>
        </w:rPr>
      </w:pPr>
      <w:r>
        <w:rPr>
          <w:rFonts w:ascii="Arial" w:cs="Arial" w:eastAsia="Arial" w:hAnsi="Arial"/>
          <w:sz w:val="18"/>
          <w:szCs w:val="18"/>
          <w:color w:val="auto"/>
        </w:rPr>
        <w:t>The following table summarizes our consolidated operating results for the three months ended March 31, 2013 and 2012. We have provided a more complete discussion of operating results by line of business in the Segment Results and Financial Condition section.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Change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spacing w:after="0"/>
              <w:rPr>
                <w:sz w:val="18"/>
                <w:szCs w:val="18"/>
                <w:color w:val="auto"/>
              </w:rPr>
            </w:pP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spacing w:after="0"/>
              <w:rPr>
                <w:sz w:val="18"/>
                <w:szCs w:val="18"/>
                <w:color w:val="auto"/>
              </w:rPr>
            </w:pP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Servicing and subservicing fees</w:t>
            </w:r>
          </w:p>
        </w:tc>
        <w:tc>
          <w:tcPr>
            <w:tcW w:w="4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369,309</w:t>
            </w:r>
          </w:p>
        </w:tc>
        <w:tc>
          <w:tcPr>
            <w:tcW w:w="260" w:type="dxa"/>
            <w:vAlign w:val="bottom"/>
            <w:shd w:val="clear" w:color="auto" w:fill="CCEECC"/>
          </w:tcPr>
          <w:p>
            <w:pPr>
              <w:spacing w:after="0"/>
              <w:rPr>
                <w:sz w:val="18"/>
                <w:szCs w:val="18"/>
                <w:color w:val="auto"/>
              </w:rPr>
            </w:pPr>
          </w:p>
        </w:tc>
        <w:tc>
          <w:tcPr>
            <w:tcW w:w="4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155,103</w:t>
            </w:r>
          </w:p>
        </w:tc>
        <w:tc>
          <w:tcPr>
            <w:tcW w:w="440" w:type="dxa"/>
            <w:vAlign w:val="bottom"/>
            <w:gridSpan w:val="2"/>
            <w:shd w:val="clear" w:color="auto" w:fill="CCEEC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214,206</w:t>
            </w: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6,749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30,601</w:t>
            </w: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9,443</w:t>
            </w:r>
          </w:p>
        </w:tc>
        <w:tc>
          <w:tcPr>
            <w:tcW w:w="18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21,158</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242,113</w:t>
            </w:r>
          </w:p>
        </w:tc>
        <w:tc>
          <w:tcPr>
            <w:tcW w:w="4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243,526</w:t>
            </w:r>
          </w:p>
        </w:tc>
        <w:tc>
          <w:tcPr>
            <w:tcW w:w="26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86,127</w:t>
            </w:r>
          </w:p>
        </w:tc>
        <w:tc>
          <w:tcPr>
            <w:tcW w:w="18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157,399</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84,714</w:t>
            </w:r>
          </w:p>
        </w:tc>
        <w:tc>
          <w:tcPr>
            <w:tcW w:w="4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(93,416)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(46,924)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(46,492)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(18,382)</w:t>
            </w:r>
          </w:p>
        </w:tc>
        <w:tc>
          <w:tcPr>
            <w:tcW w:w="1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(1,376)</w:t>
            </w:r>
          </w:p>
        </w:tc>
        <w:tc>
          <w:tcPr>
            <w:tcW w:w="18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(17,006)</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CC"/>
            </w:tcBorders>
          </w:tcPr>
          <w:p>
            <w:pPr>
              <w:ind w:left="4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(111,798</w:t>
            </w:r>
          </w:p>
        </w:tc>
        <w:tc>
          <w:tcPr>
            <w:tcW w:w="260" w:type="dxa"/>
            <w:vAlign w:val="bottom"/>
            <w:tcBorders>
              <w:bottom w:val="single" w:sz="8" w:color="CCEECC"/>
            </w:tcBorders>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(48,300</w:t>
            </w:r>
          </w:p>
        </w:tc>
        <w:tc>
          <w:tcPr>
            <w:tcW w:w="260" w:type="dxa"/>
            <w:vAlign w:val="bottom"/>
            <w:tcBorders>
              <w:bottom w:val="single" w:sz="8" w:color="CCEECC"/>
            </w:tcBorders>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440" w:type="dxa"/>
            <w:vAlign w:val="bottom"/>
            <w:tcBorders>
              <w:bottom w:val="single" w:sz="8" w:color="CCEECC"/>
            </w:tcBorders>
          </w:tcPr>
          <w:p>
            <w:pPr>
              <w:jc w:val="right"/>
              <w:ind w:right="300"/>
              <w:spacing w:after="0"/>
              <w:rPr>
                <w:sz w:val="20"/>
                <w:szCs w:val="20"/>
                <w:color w:val="auto"/>
              </w:rPr>
            </w:pPr>
            <w:r>
              <w:rPr>
                <w:rFonts w:ascii="Arial" w:cs="Arial" w:eastAsia="Arial" w:hAnsi="Arial"/>
                <w:sz w:val="16"/>
                <w:szCs w:val="16"/>
                <w:color w:val="auto"/>
                <w:w w:val="74"/>
              </w:rPr>
              <w:t>)</w:t>
            </w:r>
          </w:p>
        </w:tc>
        <w:tc>
          <w:tcPr>
            <w:tcW w:w="1180" w:type="dxa"/>
            <w:vAlign w:val="bottom"/>
            <w:tcBorders>
              <w:bottom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51,335</w:t>
            </w: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30,119</w:t>
            </w: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21,216</w:t>
            </w:r>
          </w:p>
        </w:tc>
        <w:tc>
          <w:tcPr>
            <w:tcW w:w="4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10,770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(4,582)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CC"/>
            </w:tcBorders>
            <w:shd w:val="clear" w:color="auto" w:fill="CCEECC"/>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45,147</w:t>
            </w: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19,349</w:t>
            </w:r>
          </w:p>
        </w:tc>
        <w:tc>
          <w:tcPr>
            <w:tcW w:w="26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25,798</w:t>
            </w:r>
          </w:p>
        </w:tc>
        <w:tc>
          <w:tcPr>
            <w:tcW w:w="440" w:type="dxa"/>
            <w:vAlign w:val="bottom"/>
            <w:tcBorders>
              <w:top w:val="single" w:sz="8" w:color="CCEECC"/>
            </w:tcBorders>
            <w:shd w:val="clear" w:color="auto" w:fill="CCEECC"/>
          </w:tcPr>
          <w:p>
            <w:pPr>
              <w:spacing w:after="0"/>
              <w:rPr>
                <w:sz w:val="18"/>
                <w:szCs w:val="18"/>
                <w:color w:val="auto"/>
              </w:rPr>
            </w:pPr>
          </w:p>
        </w:tc>
        <w:tc>
          <w:tcPr>
            <w:tcW w:w="1180" w:type="dxa"/>
            <w:vAlign w:val="bottom"/>
            <w:tcBorders>
              <w:top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Preferred stock dividends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(1,485)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5"/>
              </w:rPr>
              <w:t>Deemed dividend related to beneficial conversion feature of preferred</w:t>
            </w: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80" w:type="dxa"/>
            <w:vAlign w:val="bottom"/>
            <w:shd w:val="clear" w:color="auto" w:fill="CCEECC"/>
          </w:tcPr>
          <w:p>
            <w:pPr>
              <w:ind w:left="460"/>
              <w:spacing w:after="0"/>
              <w:rPr>
                <w:sz w:val="20"/>
                <w:szCs w:val="20"/>
                <w:color w:val="auto"/>
              </w:rPr>
            </w:pPr>
            <w:r>
              <w:rPr>
                <w:rFonts w:ascii="Arial" w:cs="Arial" w:eastAsia="Arial" w:hAnsi="Arial"/>
                <w:sz w:val="18"/>
                <w:szCs w:val="18"/>
                <w:color w:val="auto"/>
              </w:rPr>
              <w:t>stock</w:t>
            </w:r>
          </w:p>
        </w:tc>
        <w:tc>
          <w:tcPr>
            <w:tcW w:w="24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21"/>
                <w:szCs w:val="21"/>
                <w:color w:val="auto"/>
              </w:rPr>
            </w:pPr>
          </w:p>
        </w:tc>
        <w:tc>
          <w:tcPr>
            <w:tcW w:w="260" w:type="dxa"/>
            <w:vAlign w:val="bottom"/>
            <w:shd w:val="clear" w:color="auto" w:fill="CCEECC"/>
          </w:tcPr>
          <w:p>
            <w:pPr>
              <w:spacing w:after="0"/>
              <w:rPr>
                <w:sz w:val="21"/>
                <w:szCs w:val="21"/>
                <w:color w:val="auto"/>
              </w:rPr>
            </w:pPr>
          </w:p>
        </w:tc>
        <w:tc>
          <w:tcPr>
            <w:tcW w:w="120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(1,086)</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Net income attributable to Ocwen common stockholders</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23,227</w:t>
            </w:r>
          </w:p>
        </w:tc>
        <w:tc>
          <w:tcPr>
            <w:tcW w:w="4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CC"/>
          </w:tcPr>
          <w:p>
            <w:pPr>
              <w:spacing w:after="0"/>
              <w:rPr>
                <w:sz w:val="20"/>
                <w:szCs w:val="20"/>
                <w:color w:val="auto"/>
              </w:rPr>
            </w:pPr>
            <w:r>
              <w:rPr>
                <w:rFonts w:ascii="Arial" w:cs="Arial" w:eastAsia="Arial" w:hAnsi="Arial"/>
                <w:sz w:val="18"/>
                <w:szCs w:val="18"/>
                <w:color w:val="auto"/>
              </w:rPr>
              <w:t>Segment income (loss) before income taxes:</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47,420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34,477</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12,943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Lending</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5,028</w:t>
            </w:r>
          </w:p>
        </w:tc>
        <w:tc>
          <w:tcPr>
            <w:tcW w:w="2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5,028</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Corporate Items and Other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(4,358)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3,245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51,335</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30,119</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21,216</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180" w:type="dxa"/>
            <w:vAlign w:val="bottom"/>
            <w:tcBorders>
              <w:top w:val="single" w:sz="8" w:color="CCEECC"/>
              <w:bottom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Three Months Ended March 2013 versus March 2012. </w:t>
      </w:r>
      <w:r>
        <w:rPr>
          <w:rFonts w:ascii="Arial" w:cs="Arial" w:eastAsia="Arial" w:hAnsi="Arial"/>
          <w:sz w:val="18"/>
          <w:szCs w:val="18"/>
          <w:color w:val="auto"/>
        </w:rPr>
        <w:t>Servicing and subservicing fee revenues for 2013 were higher than 2012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238% growth in the average UPB of the residential servicing portfolio. The Homeward and ResCap Acquisitions, as well as MSR asset acquisitions completed in the second and third quarters of 2012, contributed to the growth in the average size of the portfolio as compared to the first quarter of 2012. This increase was offset in part by a decrease in the portfolio mix of servicing versus subservicing. Under subservicing arrangements, where we do not pay for the MSR, we earn lower fees. However, lower fees earned under subservicing contracts are offset by lower amortization of MSRs and interest expense on advance financing. The combined servicing and subservicing fee revenues generated by the Homeward and ResCap portfolios during the first quarter of 2013 were $160.1 million.</w:t>
      </w:r>
    </w:p>
    <w:p>
      <w:pPr>
        <w:spacing w:after="0" w:line="16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Operating expenses increased as a result of the Homeward and ResCap Acquisitions which added approximately $159.0 million of operating expenses in the first quarter of 2013.</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Other expense, net increased primarily as a result of an increase in interest expense that was largely related to financing liabilities recorded in connection with the HLSS Transactions. In addition, we recognized a loss of $17.0 million on the redemption of debt, primarily related to our early termination of the previous SSTL that we replaced with a new SSTL to finance the ResCap Acquisition. This loss is comprised of the write-off of unamortized discount and deferred financing costs.</w:t>
      </w:r>
    </w:p>
    <w:p>
      <w:pPr>
        <w:spacing w:after="0" w:line="14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spite of a $21.2 million increase in income before income taxes, income tax expense declined $4.6 million as our effective tax rate for the first quarter of 2013 declined to 12.1% as compared to 35.8% for the first quarter of 2012. Income tax provisions for interim periods are based on estimated annual income taxes calculated separately from the effect of significant, infrequent or unusual items.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 Our actual effective tax rate in the future will vary depending on the mix of U.S. and foreign assets and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189"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Our balance sheet has increased as a result of the ResCap Acquisition, partially offset by the HLSS Transactions completed during the quarter. The following table summarizes our consolidated balance sheet at the dates indicated. We provide a more complete discussion of our balance sheet in the Segments section.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EECC"/>
            </w:tcBorders>
          </w:tcPr>
          <w:p>
            <w:pPr>
              <w:spacing w:after="0"/>
              <w:rPr>
                <w:sz w:val="20"/>
                <w:szCs w:val="20"/>
                <w:color w:val="auto"/>
              </w:rPr>
            </w:pPr>
          </w:p>
        </w:tc>
        <w:tc>
          <w:tcPr>
            <w:tcW w:w="78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Borders>
              <w:bottom w:val="single" w:sz="8" w:color="CCEECC"/>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78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663,405</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443,275</w:t>
            </w:r>
          </w:p>
        </w:tc>
        <w:tc>
          <w:tcPr>
            <w:tcW w:w="4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Loans held for sale, at fair value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295,514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426,480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(130,966)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Advances and match funded advances</w:t>
            </w:r>
          </w:p>
        </w:tc>
        <w:tc>
          <w:tcPr>
            <w:tcW w:w="7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3,966,255</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3,233,707</w:t>
            </w: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732,548</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1,052,168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676,712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375,456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fair value</w:t>
            </w:r>
          </w:p>
        </w:tc>
        <w:tc>
          <w:tcPr>
            <w:tcW w:w="7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84,534</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85,213</w:t>
            </w: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(679)</w:t>
            </w: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95,137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92,136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3,001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503,617</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371,083</w:t>
            </w: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132,534</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Debt service accounts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134,157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88,748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45,409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453,228</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477,673</w:t>
            </w:r>
          </w:p>
        </w:tc>
        <w:tc>
          <w:tcPr>
            <w:tcW w:w="2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(24,445)</w:t>
            </w: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7,248,015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1,576,133</w:t>
            </w:r>
          </w:p>
        </w:tc>
        <w:tc>
          <w:tcPr>
            <w:tcW w:w="4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2,982,984</w:t>
            </w:r>
          </w:p>
        </w:tc>
        <w:tc>
          <w:tcPr>
            <w:tcW w:w="420" w:type="dxa"/>
            <w:vAlign w:val="bottom"/>
            <w:gridSpan w:val="2"/>
            <w:shd w:val="clear" w:color="auto" w:fill="CCEECC"/>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2,532,745</w:t>
            </w:r>
          </w:p>
        </w:tc>
        <w:tc>
          <w:tcPr>
            <w:tcW w:w="480" w:type="dxa"/>
            <w:vAlign w:val="bottom"/>
            <w:gridSpan w:val="2"/>
            <w:shd w:val="clear" w:color="auto" w:fill="CCEEC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450,239</w:t>
            </w:r>
          </w:p>
        </w:tc>
        <w:tc>
          <w:tcPr>
            <w:tcW w:w="1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borrowings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1,987,894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1,096,679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891,215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471,007</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277,664</w:t>
            </w:r>
          </w:p>
        </w:tc>
        <w:tc>
          <w:tcPr>
            <w:tcW w:w="2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193,343</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CC"/>
            </w:tcBorders>
          </w:tcPr>
          <w:p>
            <w:pPr>
              <w:ind w:left="120"/>
              <w:spacing w:after="0"/>
              <w:rPr>
                <w:sz w:val="20"/>
                <w:szCs w:val="20"/>
                <w:color w:val="auto"/>
              </w:rPr>
            </w:pPr>
            <w:r>
              <w:rPr>
                <w:rFonts w:ascii="Arial" w:cs="Arial" w:eastAsia="Arial" w:hAnsi="Arial"/>
                <w:sz w:val="18"/>
                <w:szCs w:val="18"/>
                <w:color w:val="auto"/>
              </w:rPr>
              <w:t>Total liabilities</w:t>
            </w:r>
          </w:p>
        </w:tc>
        <w:tc>
          <w:tcPr>
            <w:tcW w:w="78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5,441,885</w:t>
            </w:r>
          </w:p>
        </w:tc>
        <w:tc>
          <w:tcPr>
            <w:tcW w:w="22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3,907,088</w:t>
            </w:r>
          </w:p>
        </w:tc>
        <w:tc>
          <w:tcPr>
            <w:tcW w:w="22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1,534,797</w:t>
            </w:r>
          </w:p>
        </w:tc>
        <w:tc>
          <w:tcPr>
            <w:tcW w:w="440" w:type="dxa"/>
            <w:vAlign w:val="bottom"/>
            <w:tcBorders>
              <w:bottom w:val="single" w:sz="8" w:color="CCEECC"/>
            </w:tcBorders>
          </w:tcPr>
          <w:p>
            <w:pPr>
              <w:spacing w:after="0"/>
              <w:rPr>
                <w:sz w:val="18"/>
                <w:szCs w:val="18"/>
                <w:color w:val="auto"/>
              </w:rPr>
            </w:pPr>
          </w:p>
        </w:tc>
        <w:tc>
          <w:tcPr>
            <w:tcW w:w="1180" w:type="dxa"/>
            <w:vAlign w:val="bottom"/>
            <w:tcBorders>
              <w:bottom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Mezzanine equity</w:t>
            </w:r>
          </w:p>
        </w:tc>
        <w:tc>
          <w:tcPr>
            <w:tcW w:w="7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154,458</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153,372</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1,086</w:t>
            </w:r>
          </w:p>
        </w:tc>
        <w:tc>
          <w:tcPr>
            <w:tcW w:w="4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Total stockholders’ equity</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1,651,672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1,611,422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40,250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liabilities, mezzanine equity and stockholders’ equity</w:t>
            </w:r>
          </w:p>
        </w:tc>
        <w:tc>
          <w:tcPr>
            <w:tcW w:w="78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7,248,015</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5,671,882</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2"/>
              </w:rPr>
              <w:t>1,576,133</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1180" w:type="dxa"/>
            <w:vAlign w:val="bottom"/>
            <w:tcBorders>
              <w:top w:val="single" w:sz="8" w:color="CCEECC"/>
              <w:bottom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Loans held for sale, at fair value declined as sales exceeded origination volume for the quarter. Advances and match funded advances acquired in connection with the ResCap Acquisition more than offset collections and the sale of advances to HLSS. MSRs increased as a result of the ResCap Acquisition and new MSRs generated from our lending activities during the period. The increase in goodwill is the result of goodwill recorded as part of the ResCap Acquisition offset in part by the derecognition of goodwill assigned to the diversified fee-based business we acquired in the Homeward Acquisition and subsequently sold to Altisource.</w:t>
      </w:r>
    </w:p>
    <w:p>
      <w:pPr>
        <w:spacing w:after="0" w:line="14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Match funded liabilities increased to finance the advances acquired in the ResCap Acquisition which more than offset collections and reductions as a result of the sale of advances to HLSS. Other borrowings increased as a result of the new SSTL facility used to finance the ResCap Acquisition, partially offset by the repayment of the existing SSTL facility, the paydown of warehouse lines used to fund our lending business and the repayment of the $75.0 million unsecured loan from Altisource.</w:t>
      </w:r>
    </w:p>
    <w:p>
      <w:pPr>
        <w:spacing w:after="0" w:line="16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Mezzanine equity results from the issuance of $162.0 million of Preferred Shares issued as a portion of the consideration paid for the Homeward Acquisition. The increase in the balance is due to the amortization of the discount for the beneficial conversion feature.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1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meet our financing requirements using a combination of debt and equity capital. Our short-term financing needs arise primarily from our holding of mortgage loans pending sale and our obligations to advance certain payments on behalf of delinquent mortgage borrowers. Our long-term financing needs arise primarily from our investments in MSRs and the financial instruments that we may acquire to manage the interest rate risk associated with those investments, and from investments that we make in technology and other capital expenditures. The structure and mix of our debt and equity capital are primarily driven by our strategic objectives but are also influenced by our credit ratings and market conditions. Such ratings and market conditions affect the type of financing we are able to obtain and the rate at which we are able to grow.</w:t>
      </w:r>
    </w:p>
    <w:p>
      <w:pPr>
        <w:spacing w:after="0" w:line="15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rely primarily on secured borrowings as the key component of our financing strategy. Our financing arrangements allow us to fund a portion of our servicing advances until they are recovered and to fund our loan originations on a short-term basis until the mortgage loans are sold to secondary market investors. See Note 14 – Match Funded Liabilities and Note 15 – Other Borrowings to the unaudited Interim Consolidated Financial Statements for additional information regarding the components of our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6"/>
          <w:szCs w:val="16"/>
          <w:color w:val="auto"/>
        </w:rPr>
        <w:t>We define liquidity as unencumbered cash balances plus unused collateralized advance financing capacity. At March 31, 2013, our cash position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$663.4 million compared to $220.1 million at December 31, 2012. We had no unused advance financing capacity at March 31, 2013 and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Unused credit at March 31, 2013 was reduced to zero because we borrowed the maximum amount, given the available collateral, in order to fund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acquisition of MSRs and advances from Ally Bank in April. An additional borrowing under these facilities is limited by the amount of collateral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pledged. At December 31, 2012, we had also borrowed the maximum amount, principally in order to support the Homeward Acquisition.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ResCap Acquisition, we entered into three new advance financing facilities in the first quarter of 2013 that had total borrowing capacity of $3.0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available borrowing capacity of $580.4 million at March 31, 2013. In order to reduce fees charged by lenders (which we recognize as 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limit available borrowing capacity to a level that we consider prudent relative to the current levels of advances and match funded advances and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anticipated funding needs for reasonably foreseeable changes in advances.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available borrowing capacity that is sufficient to meet the needs of the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4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executing our hedging strategy for the servicing business, we have attempted to neutralize the effect of increases in interest rates within a certain period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As of March 31, 2013, the notional amount of our outstanding swaps, excluding two forward swaps starting in June 2013, was greater than total outstanding variable rate debt excluding our SSTL and net of cash and float balances. Our excess swap positions do not currently affect our application of hedge accounting because a significant portion of our swaps are not designated to any hedging relationship and our hedging relationships do not consider cash and float balances. We also purchased interest rate caps as economic hedges (not designated as a hedge for accounting purposes) to minimize future interest rate exposure from increases in one-month LIBOR interest rates, as required by certain of our advance financing arrangements.</w:t>
      </w:r>
    </w:p>
    <w:p>
      <w:pPr>
        <w:spacing w:after="0" w:line="12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current hedging strategy principally focuses on variable rate advance and MSR financing debt. The interest rate on our variable rate SSTL is not currently part of our hedging strategy because it is considered essentially fixed as interest is computed using a 1-Month LIBOR floor that is well above 1-Month LIBOR. During the coming two years, our variable rate advance and MSR financing debt is projected to exceed the notional amount of our current swaps. Future variances between the projected excess of variable rate debt over cash and float balances and actual results could result in our becoming over-hedged or under-hedged.</w:t>
      </w:r>
    </w:p>
    <w:p>
      <w:pPr>
        <w:spacing w:after="0" w:line="16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MSRs that are measured at fair value are subject to interest rate risk as the mortgage loans underlying the servicing rights permit the borrowers to prepay the loans. Therefore, the value of these MSRs generally tends to diminish in periods of declining interest rates (as prepayments increase) and increase in periods of rising interest rates (as prepayments decrease). We have entered into economic hedges including interest rate swaps, U.S. Treasury futures and forward contracts to minimize the effects of loss in value of the MSRs associated with increased prepayment activity that generally results from declining interest rates. Effective April 1, 2013, we modified our strategy for managing the risks of the underlying loan portfolio and no longer use derivative contracts to hedge against the effects of changes in the value of these MSRs. At that time, we terminated all remaining economic hedges related to our fair value MSRs.</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interest rate and price risk on mortgage loans held for sale from the loan funding date until the date the loan is sold into the secondary market. To mitigate this risk, we enter into forward trades to provide an economic hedge against changes in fair value on mortgage loans held for sale. IRLCs, or loan commitments, bind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right="60" w:firstLine="324"/>
        <w:spacing w:after="0" w:line="277" w:lineRule="auto"/>
        <w:rPr>
          <w:sz w:val="20"/>
          <w:szCs w:val="20"/>
          <w:color w:val="auto"/>
        </w:rPr>
      </w:pPr>
      <w:r>
        <w:rPr>
          <w:rFonts w:ascii="Arial" w:cs="Arial" w:eastAsia="Arial" w:hAnsi="Arial"/>
          <w:sz w:val="18"/>
          <w:szCs w:val="18"/>
          <w:color w:val="auto"/>
        </w:rPr>
        <w:t>See Note 18 – Derivative Financial Instruments to the unaudited Interim Consolidated Financial Statements for additional information regarding our use of derivatives.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44 through 47 of Management’s Discussion and Analysis of Results of Operations and Financial Condition and in Note 1 to our Consolidated Financial Statements for the year ended December 31, 2012 included in our Annual Report on Form 10-K filed March 1, 2013. Such policies have not changed during the first quarter of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each of our segments, the following section provides a discussion of the changes in financial condition during the three months ended March 31, 2013 and a discussion of pre-tax results of operations for the three months ended March 31, 2013 and 2012.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Servicing</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typically earn contractual monthly servicing fees pursuant to servicing agreements (which are typically payable as a percentage of UPB) as well as other ancillary fees on mortgage loans for which we own the MSRs. We also earn fees under both sub-servicing and special servicing arrangements with banks and other institutions that own the MSRs. We typically earn these fees either as a percentage of UPB or on a per loan basis.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The following table presents the results of operations of our Servicing segment for the three months ended March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Borders>
              <w:bottom w:val="single" w:sz="8" w:color="CCEECC"/>
            </w:tcBorders>
          </w:tcPr>
          <w:p>
            <w:pPr>
              <w:spacing w:after="0"/>
              <w:rPr>
                <w:sz w:val="20"/>
                <w:szCs w:val="20"/>
                <w:color w:val="auto"/>
              </w:rPr>
            </w:pPr>
          </w:p>
        </w:tc>
        <w:tc>
          <w:tcPr>
            <w:tcW w:w="38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Servicing and subservicing fees: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362,512</w:t>
            </w:r>
          </w:p>
        </w:tc>
        <w:tc>
          <w:tcPr>
            <w:tcW w:w="4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153,661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365,942</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155,382</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Process management fees 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376,084</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164,192</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73,927</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Amortization of servicing rights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47,883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Servicing and origination</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18,648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Technology and communications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24,339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8,712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Occupancy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22,981</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164,579</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81,313</w:t>
            </w:r>
          </w:p>
        </w:tc>
        <w:tc>
          <w:tcPr>
            <w:tcW w:w="0" w:type="dxa"/>
            <w:vAlign w:val="bottom"/>
          </w:tcPr>
          <w:p>
            <w:pPr>
              <w:spacing w:after="0"/>
              <w:rPr>
                <w:sz w:val="1"/>
                <w:szCs w:val="1"/>
                <w:color w:val="auto"/>
              </w:rPr>
            </w:pPr>
          </w:p>
        </w:tc>
      </w:tr>
      <w:tr>
        <w:trPr>
          <w:trHeight w:val="4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(90,460)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CC"/>
          </w:tcPr>
          <w:p>
            <w:pPr>
              <w:ind w:left="120"/>
              <w:spacing w:after="0"/>
              <w:rPr>
                <w:sz w:val="20"/>
                <w:szCs w:val="20"/>
                <w:color w:val="auto"/>
              </w:rPr>
            </w:pPr>
            <w:r>
              <w:rPr>
                <w:rFonts w:ascii="Arial" w:cs="Arial" w:eastAsia="Arial" w:hAnsi="Arial"/>
                <w:sz w:val="18"/>
                <w:szCs w:val="18"/>
                <w:color w:val="auto"/>
              </w:rPr>
              <w:t>Loss on debt redemption</w:t>
            </w:r>
          </w:p>
        </w:tc>
        <w:tc>
          <w:tcPr>
            <w:tcW w:w="3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(17,030)</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(117,159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(46,836</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5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47,420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34,477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w w:val="95"/>
              </w:rPr>
              <w:t>The following table provides selected Servicing operating statistics at, or for the three months ended, March 31:</w:t>
            </w: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Assets Serviced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UPB:</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Performing loans (1)</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Non-performing loans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Non-performing real estate</w:t>
      </w:r>
    </w:p>
    <w:p>
      <w:pPr>
        <w:spacing w:after="0" w:line="9" w:lineRule="exact"/>
        <w:rPr>
          <w:sz w:val="20"/>
          <w:szCs w:val="20"/>
          <w:color w:val="auto"/>
        </w:rPr>
      </w:pPr>
    </w:p>
    <w:p>
      <w:pPr>
        <w:jc w:val="right"/>
        <w:ind w:right="3600"/>
        <w:spacing w:after="0"/>
        <w:rPr>
          <w:sz w:val="20"/>
          <w:szCs w:val="20"/>
          <w:color w:val="auto"/>
        </w:rPr>
      </w:pPr>
      <w:r>
        <w:rPr>
          <w:rFonts w:ascii="Arial" w:cs="Arial" w:eastAsia="Arial" w:hAnsi="Arial"/>
          <w:sz w:val="18"/>
          <w:szCs w:val="18"/>
          <w:color w:val="auto"/>
        </w:rPr>
        <w:t>Total residential assets serviced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r>
      <w:tr>
        <w:trPr>
          <w:trHeight w:val="627"/>
        </w:trPr>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$ 398,885,539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71,202,762</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63,721,071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21,397,364</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198</w:t>
            </w:r>
          </w:p>
        </w:tc>
      </w:tr>
      <w:tr>
        <w:trPr>
          <w:trHeight w:val="230"/>
        </w:trPr>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6,847,922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5,840,340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469,454,532</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98,440,466</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377</w:t>
            </w: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-882650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-599440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-325120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260"/>
          </w:cols>
          <w:pgMar w:left="240" w:top="665"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Agency loans (3)</w:t>
            </w:r>
          </w:p>
        </w:tc>
        <w:tc>
          <w:tcPr>
            <w:tcW w:w="3480" w:type="dxa"/>
            <w:vAlign w:val="bottom"/>
            <w:gridSpan w:val="3"/>
            <w:shd w:val="clear" w:color="auto" w:fill="CCEECC"/>
          </w:tcPr>
          <w:p>
            <w:pPr>
              <w:jc w:val="right"/>
              <w:ind w:right="500"/>
              <w:spacing w:after="0"/>
              <w:rPr>
                <w:sz w:val="20"/>
                <w:szCs w:val="20"/>
                <w:color w:val="auto"/>
              </w:rPr>
            </w:pPr>
            <w:r>
              <w:rPr>
                <w:rFonts w:ascii="Arial" w:cs="Arial" w:eastAsia="Arial" w:hAnsi="Arial"/>
                <w:sz w:val="18"/>
                <w:szCs w:val="18"/>
                <w:color w:val="auto"/>
              </w:rPr>
              <w:t>$ 270,855,101</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8,872,520</w:t>
            </w:r>
          </w:p>
        </w:tc>
        <w:tc>
          <w:tcPr>
            <w:tcW w:w="110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Non Agency loans</w:t>
            </w:r>
          </w:p>
        </w:tc>
        <w:tc>
          <w:tcPr>
            <w:tcW w:w="3480" w:type="dxa"/>
            <w:vAlign w:val="bottom"/>
            <w:gridSpan w:val="3"/>
          </w:tcPr>
          <w:p>
            <w:pPr>
              <w:jc w:val="right"/>
              <w:ind w:right="500"/>
              <w:spacing w:after="0"/>
              <w:rPr>
                <w:sz w:val="20"/>
                <w:szCs w:val="20"/>
                <w:color w:val="auto"/>
              </w:rPr>
            </w:pPr>
            <w:r>
              <w:rPr>
                <w:rFonts w:ascii="Arial" w:cs="Arial" w:eastAsia="Arial" w:hAnsi="Arial"/>
                <w:sz w:val="18"/>
                <w:szCs w:val="18"/>
                <w:color w:val="auto"/>
              </w:rPr>
              <w:t>198,599,431</w:t>
            </w:r>
          </w:p>
        </w:tc>
        <w:tc>
          <w:tcPr>
            <w:tcW w:w="10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89,567,946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residential loans serviced</w:t>
            </w:r>
          </w:p>
        </w:tc>
        <w:tc>
          <w:tcPr>
            <w:tcW w:w="196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469,454,532</w:t>
            </w:r>
          </w:p>
        </w:tc>
        <w:tc>
          <w:tcPr>
            <w:tcW w:w="5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98,440,466</w:t>
            </w:r>
          </w:p>
        </w:tc>
        <w:tc>
          <w:tcPr>
            <w:tcW w:w="620" w:type="dxa"/>
            <w:vAlign w:val="bottom"/>
            <w:tcBorders>
              <w:top w:val="single" w:sz="8" w:color="CCEECC"/>
              <w:bottom w:val="single" w:sz="8" w:color="CCEECC"/>
            </w:tcBorders>
            <w:shd w:val="clear" w:color="auto" w:fill="CCEECC"/>
          </w:tcPr>
          <w:p>
            <w:pPr>
              <w:spacing w:after="0"/>
              <w:rPr>
                <w:sz w:val="19"/>
                <w:szCs w:val="19"/>
                <w:color w:val="auto"/>
              </w:rPr>
            </w:pPr>
          </w:p>
        </w:tc>
        <w:tc>
          <w:tcPr>
            <w:tcW w:w="1100" w:type="dxa"/>
            <w:vAlign w:val="bottom"/>
            <w:tcBorders>
              <w:top w:val="single" w:sz="8" w:color="CCEECC"/>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Average residential assets serviced</w:t>
            </w:r>
          </w:p>
        </w:tc>
        <w:tc>
          <w:tcPr>
            <w:tcW w:w="3480" w:type="dxa"/>
            <w:vAlign w:val="bottom"/>
            <w:gridSpan w:val="3"/>
          </w:tcPr>
          <w:p>
            <w:pPr>
              <w:jc w:val="right"/>
              <w:ind w:right="500"/>
              <w:spacing w:after="0"/>
              <w:rPr>
                <w:sz w:val="20"/>
                <w:szCs w:val="20"/>
                <w:color w:val="auto"/>
              </w:rPr>
            </w:pPr>
            <w:r>
              <w:rPr>
                <w:rFonts w:ascii="Arial" w:cs="Arial" w:eastAsia="Arial" w:hAnsi="Arial"/>
                <w:sz w:val="18"/>
                <w:szCs w:val="18"/>
                <w:color w:val="auto"/>
              </w:rPr>
              <w:t>$ 339,755,314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100,440,043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Prepayment speed (average CPR)</w:t>
            </w:r>
          </w:p>
        </w:tc>
        <w:tc>
          <w:tcPr>
            <w:tcW w:w="3480" w:type="dxa"/>
            <w:vAlign w:val="bottom"/>
            <w:gridSpan w:val="3"/>
            <w:shd w:val="clear" w:color="auto" w:fill="CCEECC"/>
          </w:tcPr>
          <w:p>
            <w:pPr>
              <w:jc w:val="right"/>
              <w:ind w:right="3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14.2%</w:t>
            </w:r>
          </w:p>
        </w:tc>
        <w:tc>
          <w:tcPr>
            <w:tcW w:w="1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Percent of total UPB:</w:t>
            </w: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Servicing portfolio</w:t>
            </w:r>
          </w:p>
        </w:tc>
        <w:tc>
          <w:tcPr>
            <w:tcW w:w="3480" w:type="dxa"/>
            <w:vAlign w:val="bottom"/>
            <w:gridSpan w:val="3"/>
            <w:shd w:val="clear" w:color="auto" w:fill="CCEECC"/>
          </w:tcPr>
          <w:p>
            <w:pPr>
              <w:jc w:val="right"/>
              <w:ind w:right="36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77.1%</w:t>
            </w:r>
          </w:p>
        </w:tc>
        <w:tc>
          <w:tcPr>
            <w:tcW w:w="1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Subservicing portfolio</w:t>
            </w:r>
          </w:p>
        </w:tc>
        <w:tc>
          <w:tcPr>
            <w:tcW w:w="3480" w:type="dxa"/>
            <w:vAlign w:val="bottom"/>
            <w:gridSpan w:val="3"/>
          </w:tcPr>
          <w:p>
            <w:pPr>
              <w:jc w:val="right"/>
              <w:ind w:right="5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22.9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Non-performing residential assets serviced</w:t>
            </w:r>
          </w:p>
        </w:tc>
        <w:tc>
          <w:tcPr>
            <w:tcW w:w="3480" w:type="dxa"/>
            <w:vAlign w:val="bottom"/>
            <w:gridSpan w:val="3"/>
            <w:shd w:val="clear" w:color="auto" w:fill="CCEECC"/>
          </w:tcPr>
          <w:p>
            <w:pPr>
              <w:jc w:val="right"/>
              <w:ind w:right="3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CC"/>
          </w:tcPr>
          <w:p>
            <w:pPr>
              <w:spacing w:after="0"/>
              <w:rPr>
                <w:sz w:val="18"/>
                <w:szCs w:val="18"/>
                <w:color w:val="auto"/>
              </w:rPr>
            </w:pPr>
          </w:p>
        </w:tc>
        <w:tc>
          <w:tcPr>
            <w:tcW w:w="154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25.6%</w:t>
            </w:r>
          </w:p>
        </w:tc>
        <w:tc>
          <w:tcPr>
            <w:tcW w:w="110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Performing loans (1)</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Non-performing loans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Non-performing real estate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number of residential assets serviced (2)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1540" w:type="dxa"/>
        <w:tblCellMar>
          <w:top w:w="0" w:type="dxa"/>
          <w:left w:w="0" w:type="dxa"/>
          <w:bottom w:w="0" w:type="dxa"/>
          <w:right w:w="0" w:type="dxa"/>
        </w:tblCellMar>
      </w:tblPr>
      <w:tr>
        <w:trPr>
          <w:trHeight w:val="216"/>
        </w:trPr>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2,518,624</w:t>
            </w:r>
          </w:p>
        </w:tc>
        <w:tc>
          <w:tcPr>
            <w:tcW w:w="1020" w:type="dxa"/>
            <w:vAlign w:val="bottom"/>
          </w:tcPr>
          <w:p>
            <w:pPr>
              <w:jc w:val="right"/>
              <w:spacing w:after="0"/>
              <w:rPr>
                <w:sz w:val="20"/>
                <w:szCs w:val="20"/>
                <w:color w:val="auto"/>
              </w:rPr>
            </w:pPr>
            <w:r>
              <w:rPr>
                <w:rFonts w:ascii="Arial" w:cs="Arial" w:eastAsia="Arial" w:hAnsi="Arial"/>
                <w:sz w:val="18"/>
                <w:szCs w:val="18"/>
                <w:color w:val="auto"/>
              </w:rPr>
              <w:t>516,417</w:t>
            </w:r>
          </w:p>
        </w:tc>
        <w:tc>
          <w:tcPr>
            <w:tcW w:w="16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376,356</w:t>
            </w:r>
          </w:p>
        </w:tc>
        <w:tc>
          <w:tcPr>
            <w:tcW w:w="1020" w:type="dxa"/>
            <w:vAlign w:val="bottom"/>
          </w:tcPr>
          <w:p>
            <w:pPr>
              <w:jc w:val="right"/>
              <w:spacing w:after="0"/>
              <w:rPr>
                <w:sz w:val="20"/>
                <w:szCs w:val="20"/>
                <w:color w:val="auto"/>
              </w:rPr>
            </w:pPr>
            <w:r>
              <w:rPr>
                <w:rFonts w:ascii="Arial" w:cs="Arial" w:eastAsia="Arial" w:hAnsi="Arial"/>
                <w:sz w:val="18"/>
                <w:szCs w:val="18"/>
                <w:color w:val="auto"/>
              </w:rPr>
              <w:t>109,128</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245</w:t>
            </w:r>
          </w:p>
        </w:tc>
      </w:tr>
      <w:tr>
        <w:trPr>
          <w:trHeight w:val="230"/>
        </w:trPr>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36,626</w:t>
            </w:r>
          </w:p>
        </w:tc>
        <w:tc>
          <w:tcPr>
            <w:tcW w:w="1020" w:type="dxa"/>
            <w:vAlign w:val="bottom"/>
          </w:tcPr>
          <w:p>
            <w:pPr>
              <w:jc w:val="right"/>
              <w:spacing w:after="0"/>
              <w:rPr>
                <w:sz w:val="20"/>
                <w:szCs w:val="20"/>
                <w:color w:val="auto"/>
              </w:rPr>
            </w:pPr>
            <w:r>
              <w:rPr>
                <w:rFonts w:ascii="Arial" w:cs="Arial" w:eastAsia="Arial" w:hAnsi="Arial"/>
                <w:sz w:val="18"/>
                <w:szCs w:val="18"/>
                <w:color w:val="auto"/>
              </w:rPr>
              <w:t>29,965</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2,931,606</w:t>
            </w:r>
          </w:p>
        </w:tc>
        <w:tc>
          <w:tcPr>
            <w:tcW w:w="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655,510</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347</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6350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2">
            <w:col w:w="4900" w:space="720"/>
            <w:col w:w="5800"/>
          </w:cols>
          <w:pgMar w:left="240" w:top="665"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CC"/>
            </w:tcBorders>
            <w:shd w:val="clear" w:color="auto" w:fill="CCEECC"/>
          </w:tcPr>
          <w:p>
            <w:pPr>
              <w:ind w:left="140"/>
              <w:spacing w:after="0"/>
              <w:rPr>
                <w:sz w:val="20"/>
                <w:szCs w:val="20"/>
                <w:color w:val="auto"/>
              </w:rPr>
            </w:pPr>
            <w:r>
              <w:rPr>
                <w:rFonts w:ascii="Arial" w:cs="Arial" w:eastAsia="Arial" w:hAnsi="Arial"/>
                <w:sz w:val="18"/>
                <w:szCs w:val="18"/>
                <w:color w:val="auto"/>
              </w:rPr>
              <w:t>Agency loans (3)</w:t>
            </w:r>
          </w:p>
        </w:tc>
        <w:tc>
          <w:tcPr>
            <w:tcW w:w="14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1,478,194</w:t>
            </w:r>
          </w:p>
        </w:tc>
        <w:tc>
          <w:tcPr>
            <w:tcW w:w="5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47,982</w:t>
            </w:r>
          </w:p>
        </w:tc>
        <w:tc>
          <w:tcPr>
            <w:tcW w:w="500" w:type="dxa"/>
            <w:vAlign w:val="bottom"/>
            <w:tcBorders>
              <w:top w:val="single" w:sz="8" w:color="CCEECC"/>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2,981</w:t>
            </w:r>
          </w:p>
        </w:tc>
        <w:tc>
          <w:tcPr>
            <w:tcW w:w="22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Non Agency loans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1,453,412</w:t>
            </w:r>
          </w:p>
        </w:tc>
        <w:tc>
          <w:tcPr>
            <w:tcW w:w="18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607,528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residential loans serviced</w:t>
            </w:r>
          </w:p>
        </w:tc>
        <w:tc>
          <w:tcPr>
            <w:tcW w:w="140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spacing w:after="0"/>
              <w:rPr>
                <w:sz w:val="19"/>
                <w:szCs w:val="19"/>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2,931,606</w:t>
            </w:r>
          </w:p>
        </w:tc>
        <w:tc>
          <w:tcPr>
            <w:tcW w:w="50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spacing w:after="0"/>
              <w:rPr>
                <w:sz w:val="19"/>
                <w:szCs w:val="19"/>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655,510</w:t>
            </w:r>
          </w:p>
        </w:tc>
        <w:tc>
          <w:tcPr>
            <w:tcW w:w="500" w:type="dxa"/>
            <w:vAlign w:val="bottom"/>
            <w:tcBorders>
              <w:top w:val="single" w:sz="8" w:color="CCEECC"/>
              <w:bottom w:val="single" w:sz="8" w:color="CCEECC"/>
            </w:tcBorders>
            <w:shd w:val="clear" w:color="auto" w:fill="CCEECC"/>
          </w:tcPr>
          <w:p>
            <w:pPr>
              <w:spacing w:after="0"/>
              <w:rPr>
                <w:sz w:val="19"/>
                <w:szCs w:val="19"/>
                <w:color w:val="auto"/>
              </w:rPr>
            </w:pPr>
          </w:p>
        </w:tc>
        <w:tc>
          <w:tcPr>
            <w:tcW w:w="122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Average residential assets serviced</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2,095,245</w:t>
            </w:r>
          </w:p>
        </w:tc>
        <w:tc>
          <w:tcPr>
            <w:tcW w:w="18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663,804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color w:val="auto"/>
              </w:rPr>
              <w:t>Percent of total number:</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Subservicing portfolio</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22.3</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Non-performing residential assets serviced</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Loan servicing and subservicing</w:t>
            </w:r>
          </w:p>
        </w:tc>
        <w:tc>
          <w:tcPr>
            <w:tcW w:w="15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266,435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111,885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HAMP fees</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39,419</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12,684</w:t>
            </w:r>
          </w:p>
        </w:tc>
        <w:tc>
          <w:tcPr>
            <w:tcW w:w="12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25,790</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18,845</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 collection fees</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6,365</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3,328</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787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22,887</w:t>
            </w:r>
          </w:p>
        </w:tc>
        <w:tc>
          <w:tcPr>
            <w:tcW w:w="18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6,132</w:t>
            </w:r>
          </w:p>
        </w:tc>
        <w:tc>
          <w:tcPr>
            <w:tcW w:w="12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362,512</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153,661</w:t>
            </w:r>
          </w:p>
        </w:tc>
        <w:tc>
          <w:tcPr>
            <w:tcW w:w="5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Number of Completed Modifications</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HAMP</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8,170</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3,467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Non-HAMP</w:t>
            </w:r>
          </w:p>
        </w:tc>
        <w:tc>
          <w:tcPr>
            <w:tcW w:w="14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16,014</w:t>
            </w:r>
          </w:p>
        </w:tc>
        <w:tc>
          <w:tcPr>
            <w:tcW w:w="18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20,024</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24,184</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23,491</w:t>
            </w:r>
          </w:p>
        </w:tc>
        <w:tc>
          <w:tcPr>
            <w:tcW w:w="5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Financing Costs</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Average balance of advances and match funded advances</w:t>
            </w:r>
          </w:p>
        </w:tc>
        <w:tc>
          <w:tcPr>
            <w:tcW w:w="15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3,768,947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3,368,011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Average borrowings (4)</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3,595,596</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2,812,360</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Interest expense on borrowings (4)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43,437</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42,337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Facility costs included in interest expense (4)</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4,161</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Discount amortization included in interest expense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745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Effective average interest rate (4)</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6.02%</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Average 1-month LIBOR</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Average Employment</w:t>
            </w:r>
          </w:p>
        </w:tc>
        <w:tc>
          <w:tcPr>
            <w:tcW w:w="14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India and other</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4,266</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4,525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United States (5)</w:t>
            </w:r>
          </w:p>
        </w:tc>
        <w:tc>
          <w:tcPr>
            <w:tcW w:w="14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2,923</w:t>
            </w:r>
          </w:p>
        </w:tc>
        <w:tc>
          <w:tcPr>
            <w:tcW w:w="18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743</w:t>
            </w:r>
          </w:p>
        </w:tc>
        <w:tc>
          <w:tcPr>
            <w:tcW w:w="12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Collections on Loans Serviced for Others</w:t>
            </w:r>
          </w:p>
        </w:tc>
        <w:tc>
          <w:tcPr>
            <w:tcW w:w="158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w w:val="99"/>
              </w:rPr>
              <w:t>14,445,914</w:t>
            </w: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2,185,885</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CC"/>
            </w:tcBorders>
          </w:tcPr>
          <w:p>
            <w:pPr>
              <w:spacing w:after="0" w:line="20" w:lineRule="exact"/>
              <w:rPr>
                <w:sz w:val="1"/>
                <w:szCs w:val="1"/>
                <w:color w:val="auto"/>
              </w:rPr>
            </w:pPr>
          </w:p>
        </w:tc>
        <w:tc>
          <w:tcPr>
            <w:tcW w:w="14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CC"/>
            </w:tcBorders>
          </w:tcPr>
          <w:p>
            <w:pPr>
              <w:spacing w:after="0" w:line="20" w:lineRule="exact"/>
              <w:rPr>
                <w:sz w:val="1"/>
                <w:szCs w:val="1"/>
                <w:color w:val="auto"/>
              </w:rPr>
            </w:pPr>
          </w:p>
        </w:tc>
        <w:tc>
          <w:tcPr>
            <w:tcW w:w="100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43" w:lineRule="exact"/>
        <w:rPr>
          <w:rFonts w:ascii="Arial" w:cs="Arial" w:eastAsia="Arial" w:hAnsi="Arial"/>
          <w:sz w:val="18"/>
          <w:szCs w:val="18"/>
          <w:color w:val="auto"/>
        </w:rPr>
      </w:pPr>
    </w:p>
    <w:p>
      <w:pPr>
        <w:ind w:left="380" w:right="500" w:hanging="318"/>
        <w:spacing w:after="0" w:line="277" w:lineRule="auto"/>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At March 31, 2013, we serviced 1,094,664 subprime loans with a UPB of $161.2 billion. This compares to 747,908 subprime loans with a UPB of $113.4 billion at December 31, 2012 and 534,916 subprime loans with a UPB of $81.3 billion at March 31, 2012.</w:t>
      </w:r>
    </w:p>
    <w:p>
      <w:pPr>
        <w:spacing w:after="0" w:line="170" w:lineRule="exact"/>
        <w:rPr>
          <w:rFonts w:ascii="Arial" w:cs="Arial" w:eastAsia="Arial" w:hAnsi="Arial"/>
          <w:sz w:val="18"/>
          <w:szCs w:val="18"/>
          <w:color w:val="auto"/>
        </w:rPr>
      </w:pPr>
    </w:p>
    <w:p>
      <w:pPr>
        <w:ind w:left="380" w:right="300" w:hanging="318"/>
        <w:spacing w:after="0" w:line="277" w:lineRule="auto"/>
        <w:tabs>
          <w:tab w:leader="none" w:pos="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Agency loans at March 31, 2013 include 168,573 prime loans with a UPB of $42.2 billion that we subservice which consist primarily of jumbo loans which exceed conforming loan size limits set by Fannie Mae and Freddie Mac.</w:t>
      </w:r>
    </w:p>
    <w:p>
      <w:pPr>
        <w:spacing w:after="0" w:line="130" w:lineRule="exact"/>
        <w:rPr>
          <w:sz w:val="20"/>
          <w:szCs w:val="20"/>
          <w:color w:val="auto"/>
        </w:rPr>
      </w:pPr>
    </w:p>
    <w:p>
      <w:pPr>
        <w:ind w:left="340" w:right="18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interest expense of $44.5 million and $2.9 million for the three months ended March 31, 2013 and 2012, respectively, related to financing liabilities that we recognized in connection with the HLSS Transactions. Also excludes an average of $321.8 million and $20.1 million of borrowings during the same periods. See Note 4 – Asset Sales and Financing to the unaudited Interim Consolidated Financial Statements for additional information regarding the HLSS Transactions.</w:t>
      </w:r>
    </w:p>
    <w:p>
      <w:pPr>
        <w:spacing w:after="0" w:line="146"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ResCap Acquisition and the Homeward Acquisition added an average of 1,189 and 1,581 employees, respectively, during the first quarter of 2013. Excluding ResCap and Homeward employees, U.S average staffing was 751 for the three months ended March 31, 2013 as compared to 743 for the three months ended March 31,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00" w:type="dxa"/>
            <w:vAlign w:val="bottom"/>
            <w:gridSpan w:val="7"/>
          </w:tcPr>
          <w:p>
            <w:pPr>
              <w:ind w:left="660"/>
              <w:spacing w:after="0"/>
              <w:rPr>
                <w:sz w:val="20"/>
                <w:szCs w:val="20"/>
                <w:color w:val="auto"/>
              </w:rPr>
            </w:pPr>
            <w:r>
              <w:rPr>
                <w:rFonts w:ascii="Arial" w:cs="Arial" w:eastAsia="Arial" w:hAnsi="Arial"/>
                <w:sz w:val="18"/>
                <w:szCs w:val="18"/>
                <w:b w:val="1"/>
                <w:bCs w:val="1"/>
                <w:color w:val="auto"/>
              </w:rPr>
              <w:t>Amount of UPB</w:t>
            </w:r>
          </w:p>
        </w:tc>
        <w:tc>
          <w:tcPr>
            <w:tcW w:w="1460" w:type="dxa"/>
            <w:vAlign w:val="bottom"/>
            <w:gridSpan w:val="3"/>
          </w:tcPr>
          <w:p>
            <w:pPr>
              <w:ind w:left="900"/>
              <w:spacing w:after="0"/>
              <w:rPr>
                <w:sz w:val="20"/>
                <w:szCs w:val="20"/>
                <w:color w:val="auto"/>
              </w:rPr>
            </w:pPr>
            <w:r>
              <w:rPr>
                <w:rFonts w:ascii="Arial" w:cs="Arial" w:eastAsia="Arial" w:hAnsi="Arial"/>
                <w:sz w:val="18"/>
                <w:szCs w:val="18"/>
                <w:b w:val="1"/>
                <w:bCs w:val="1"/>
                <w:color w:val="auto"/>
              </w:rPr>
              <w:t>Count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CC"/>
            </w:tcBorders>
          </w:tcPr>
          <w:p>
            <w:pPr>
              <w:spacing w:after="0"/>
              <w:rPr>
                <w:sz w:val="19"/>
                <w:szCs w:val="19"/>
                <w:color w:val="auto"/>
              </w:rPr>
            </w:pPr>
          </w:p>
        </w:tc>
        <w:tc>
          <w:tcPr>
            <w:tcW w:w="1360" w:type="dxa"/>
            <w:vAlign w:val="bottom"/>
            <w:tcBorders>
              <w:bottom w:val="single" w:sz="8" w:color="CCEEC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CCEECC"/>
            </w:tcBorders>
          </w:tcPr>
          <w:p>
            <w:pPr>
              <w:spacing w:after="0"/>
              <w:rPr>
                <w:sz w:val="19"/>
                <w:szCs w:val="19"/>
                <w:color w:val="auto"/>
              </w:rPr>
            </w:pPr>
          </w:p>
        </w:tc>
        <w:tc>
          <w:tcPr>
            <w:tcW w:w="220" w:type="dxa"/>
            <w:vAlign w:val="bottom"/>
            <w:tcBorders>
              <w:top w:val="single" w:sz="8" w:color="auto"/>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Servicing portfolio at beginning of the year</w:t>
            </w:r>
          </w:p>
        </w:tc>
        <w:tc>
          <w:tcPr>
            <w:tcW w:w="136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8"/>
              </w:rPr>
              <w:t>$ 203,665,716</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1"/>
              </w:rPr>
              <w:t>102,199,222</w:t>
            </w:r>
          </w:p>
        </w:tc>
        <w:tc>
          <w:tcPr>
            <w:tcW w:w="4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1,219,956</w:t>
            </w:r>
          </w:p>
        </w:tc>
        <w:tc>
          <w:tcPr>
            <w:tcW w:w="4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671,623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278,688,134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47,480</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1,773,522</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Runoff</w:t>
            </w:r>
          </w:p>
        </w:tc>
        <w:tc>
          <w:tcPr>
            <w:tcW w:w="136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(12,899,319)</w:t>
            </w: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8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(3,806,236)</w:t>
            </w: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(61,872)</w:t>
            </w:r>
          </w:p>
        </w:tc>
        <w:tc>
          <w:tcPr>
            <w:tcW w:w="100" w:type="dxa"/>
            <w:vAlign w:val="bottom"/>
            <w:shd w:val="clear" w:color="auto" w:fill="CCEECC"/>
          </w:tcPr>
          <w:p>
            <w:pPr>
              <w:spacing w:after="0"/>
              <w:rPr>
                <w:sz w:val="19"/>
                <w:szCs w:val="19"/>
                <w:color w:val="auto"/>
              </w:rPr>
            </w:pPr>
          </w:p>
        </w:tc>
        <w:tc>
          <w:tcPr>
            <w:tcW w:w="10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(16,319)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Servicing portfolio at March 31</w:t>
            </w: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$ 469,454,532</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98,440,466</w:t>
            </w: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2,931,606</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655,510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Three months ended March 2013 versus March 2012. </w:t>
      </w:r>
      <w:r>
        <w:rPr>
          <w:rFonts w:ascii="Arial" w:cs="Arial" w:eastAsia="Arial" w:hAnsi="Arial"/>
          <w:sz w:val="18"/>
          <w:szCs w:val="18"/>
          <w:color w:val="auto"/>
        </w:rPr>
        <w:t>Residential servicing and subservicing fees for the first quarter of 2013 were 136% higher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2012 primarily due to:</w:t>
      </w:r>
    </w:p>
    <w:p>
      <w:pPr>
        <w:spacing w:after="0" w:line="125" w:lineRule="exact"/>
        <w:rPr>
          <w:sz w:val="20"/>
          <w:szCs w:val="20"/>
          <w:color w:val="auto"/>
        </w:rPr>
      </w:pPr>
    </w:p>
    <w:p>
      <w:pPr>
        <w:ind w:left="660" w:right="2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238% increase in the average UPB of assets serviced driven primarily by the Homeward and ResCap Acquisitions, new MSR capitalization in connection with our lending activities and MSR portfolios we acquired during the second and third quarters of 2012. During the first quarter of 2013, these acquired portfolios generated incremental servicing fees, subservicing fees and late charges of approximately $175.8 million. These increases were offset in part by runoff of the portfolio as a result of principal repayments, modifications and real estate sales;</w:t>
      </w:r>
    </w:p>
    <w:p>
      <w:pPr>
        <w:spacing w:after="0" w:line="13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Incentive fees of $7.3 million earned on subservicing portfolios added during 2012;</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 increase in total completed modifications across all portfolios including ResCap for one-half of the quarter;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the increase in the size of the portfolio was partially offset by:</w:t>
      </w:r>
    </w:p>
    <w:p>
      <w:pPr>
        <w:spacing w:after="0" w:line="184" w:lineRule="exact"/>
        <w:rPr>
          <w:rFonts w:ascii="Arial" w:cs="Arial" w:eastAsia="Arial" w:hAnsi="Arial"/>
          <w:sz w:val="18"/>
          <w:szCs w:val="18"/>
          <w:color w:val="auto"/>
        </w:rPr>
      </w:pPr>
    </w:p>
    <w:p>
      <w:pPr>
        <w:ind w:left="980" w:right="220" w:hanging="324"/>
        <w:spacing w:after="0" w:line="277" w:lineRule="auto"/>
        <w:rPr>
          <w:rFonts w:ascii="Arial" w:cs="Arial" w:eastAsia="Arial" w:hAnsi="Arial"/>
          <w:sz w:val="18"/>
          <w:szCs w:val="18"/>
          <w:color w:val="auto"/>
        </w:rPr>
      </w:pPr>
      <w:r>
        <w:rPr>
          <w:rFonts w:ascii="Arial" w:cs="Arial" w:eastAsia="Arial" w:hAnsi="Arial"/>
          <w:sz w:val="18"/>
          <w:szCs w:val="18"/>
          <w:color w:val="auto"/>
        </w:rPr>
        <w:t>o A change in the relative mix of the servicing portfolio due to a significant increase in the subserviced portfolio in connection with the ResCap Acquisition and assumption of the Ally subservicing contract; and</w:t>
      </w:r>
    </w:p>
    <w:p>
      <w:pPr>
        <w:spacing w:after="0" w:line="143"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ResCap Acquisition contributed revenue for only one-half of the first quarter of 2013.</w:t>
      </w:r>
    </w:p>
    <w:p>
      <w:pPr>
        <w:spacing w:after="0" w:line="18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increase in modifications contributed to revenue growth because when we return a loan to performing status we generally recognize any deferred servicing fees and late fees on the loan. For loans modified under HAMP, which is set to expire on December 31, 2013, we earn HAMP fees in place of late fees. As noted above, total completed modifications were up 3% with HAMP accounting for 34%. In the first quarter of 2012, HAMP accounted for 15% of our modifications. Of the total modifications completed during the first quarter of 2013, 44% included principal modifications. In the first quarter of 2013, 71% of the modifications completed on Ocwen’s legacy platform included principal modifications as compared to 65% in the first quarter of 2012. Our “Shared Appreciation Modification” program (SAM) accounted for 26% of the modifications completed on Ocwen’s legacy platform during the first quarter 2013 as compared to 29% for the first quarter of 2012. We recognized loan servicing fees, late charges and HAMP fees of $60.8 million and $39.0 million during the first quarter of 2013 and 2012, respectively, for completed modifications. We anticipate improvements in modification rates as Homeward and ResCap loans continue to transfer onto the Ocwen platform and our programs to benefit consumers and loan investors take effect.</w:t>
      </w:r>
    </w:p>
    <w:p>
      <w:pPr>
        <w:spacing w:after="0" w:line="12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Another factor contributing to the net increase in revenues was the decrease in the delinquency rates of the loans in our portfolio. Excluding the effects of the ResCap Acquisition and Ally subservicing UPB, we saw improvement in our delinquency rates, dropping to 24.0% at March 31, 2013 from 25.6% at March 31, 2012. The ResCap portfolio has a delinquency rate of 8.5% at March 31, 2013. Improvements in our overall delinquency rates continue to be driven by modifications and improvements in our early loss mitigation efforts.</w:t>
      </w:r>
    </w:p>
    <w:p>
      <w:pPr>
        <w:spacing w:after="0" w:line="16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change in mix of serviced loans versus subserviced loans was one of the factors that resulted in residential servicing and subservicing revenues growing slower than the loan portfolio as annualized revenues decreased to 0.43% of average UPB in the first quarter of 2013 as compared to 0.51% for the first quarter of 2012. Upon completion of the Ally MSR acquisition, approximately $85.0 billion in currently subserviced loans will become serviced loans.</w:t>
      </w:r>
    </w:p>
    <w:p>
      <w:pPr>
        <w:spacing w:after="0" w:line="10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Average prepayment speed increased to 20.1% for the first quarter of 2013 compared to 14.2% for 2012. In 2013, principal reduction modifications, regular principal payments and other voluntary payoffs accounted for approximately 80% of average CPR with real estate sales and other involuntary liquidations accounting for the remaining 20%. For the first quarter of 2012, total voluntary and involuntary reductions accounted for 47% and 53%, respectively, of average CPR. Principal reduction modifications accounted for 6% and 19% of our average prepayment speed for the 2013 and 2012 periods, respectively.</w:t>
      </w:r>
    </w:p>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estimate that the balance of deferred servicing fees related to delinquent borrower payments was $503.8 million at March 31, 2013 compared to $452.0 million at December 31, 2012. The increase is primarily due to the ResCap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220" w:firstLine="324"/>
        <w:spacing w:after="0" w:line="264" w:lineRule="auto"/>
        <w:rPr>
          <w:sz w:val="20"/>
          <w:szCs w:val="20"/>
          <w:color w:val="auto"/>
        </w:rPr>
      </w:pPr>
      <w:r>
        <w:rPr>
          <w:rFonts w:ascii="Arial" w:cs="Arial" w:eastAsia="Arial" w:hAnsi="Arial"/>
          <w:sz w:val="18"/>
          <w:szCs w:val="18"/>
          <w:color w:val="auto"/>
        </w:rPr>
        <w:t>Operating expenses increased by $128.6 million in the first quarter of 2013, or 155%, as compared to 2012 primarily because of the effects of the Homeward and ResCap Acquisitions and 2012 MSR acquisitions that were completed in the second and third quarters of 2012. In the first quarter of 2013, we incurred $1.8 million of acquisition-related expenses associated with the ResCap Acquisition.</w:t>
      </w:r>
    </w:p>
    <w:p>
      <w:pPr>
        <w:spacing w:after="0" w:line="141" w:lineRule="exact"/>
        <w:rPr>
          <w:sz w:val="20"/>
          <w:szCs w:val="20"/>
          <w:color w:val="auto"/>
        </w:rPr>
      </w:pPr>
    </w:p>
    <w:p>
      <w:pPr>
        <w:ind w:left="660" w:right="64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Compensation and benefits increased by $50.2 million, or 211%, largely because of an increase in headcount resulting from the ResCap and Homeward acquisitions. At March 31, 2013, ResCap and Homeward employees totaled 2,342 and 1,921, respectively.</w:t>
      </w:r>
    </w:p>
    <w:p>
      <w:pPr>
        <w:spacing w:after="0" w:line="119"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MSRs increased by $33.6 million in the first quarter of 2013 due principally to $36.3 million of additional amortization attributed to ResCap, Homeward and MSRs acquired during the second and third quarters of 2012 offset in part by a decline in amortization on pre-existing MSRs because of runoff of the portfolio.</w:t>
      </w:r>
    </w:p>
    <w:p>
      <w:pPr>
        <w:spacing w:after="0" w:line="140" w:lineRule="exact"/>
        <w:rPr>
          <w:rFonts w:ascii="Arial" w:cs="Arial" w:eastAsia="Arial" w:hAnsi="Arial"/>
          <w:sz w:val="18"/>
          <w:szCs w:val="18"/>
          <w:color w:val="auto"/>
        </w:rPr>
      </w:pPr>
    </w:p>
    <w:p>
      <w:pPr>
        <w:ind w:left="660" w:right="92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Technology and communications and Occupancy and equipment costs increased by a combined $17.1 million as we added facilities and infrastructure, largely through the Homeward and ResCap Acquisitions, to support the residential servicing portfolio growth.</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Servicing and origination expense increased by $15.4 million primarily as a result of growth in the portfolio because of the Homeward and ResCap Acquisitions.</w:t>
      </w:r>
    </w:p>
    <w:p>
      <w:pPr>
        <w:spacing w:after="0" w:line="14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Excluding interest on the financing liabilities that we recognized in connection with the HLSS Transactions, interest expense on borrowings for the first quarter of 2013 was 3% higher than in the first quarter of 2012. This was principally the result of increased borrowings in connection with the substantial growth in the servicing portfolio offset in part by repayments of match funded debt from proceeds received on the HLSS Transactions. We recognized a loss of $17.0 million on the redemption of debt, primarily related to our early termination of the previous SSTL that we replaced with a new SSTL to finance the ResCap Acquisition. This loss results from the write-off of unamortized discount and deferred financing costs.</w:t>
      </w:r>
    </w:p>
    <w:p>
      <w:pPr>
        <w:spacing w:after="0" w:line="13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Average borrowings of the Servicing segment increased by 28% during the first quarter of 2013 as compared to 2012 while average advances and match funded advances increased by 12% during the same period. Advances and MSRs acquired as part of the Homeward and ResCap Acquisitions and MSR asset acquisitions during the second and third quarters of 2012 were largely offset by a decline in average advances arising as a result of collections and the sale of match funded advances to HLSS. The increase in average borrowings in 2013 result from higher borrowings required to fund the Homeward and ResCap Acquisitions and higher advance rates on match funded advance facilities as compared to the first quarter of 2012.</w:t>
      </w:r>
    </w:p>
    <w:p>
      <w:pPr>
        <w:spacing w:after="0" w:line="11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expense did not increase in proportion to the increase in average borrowings principally because our refinancing of the majority of our our match funded debt and our SSTL debt resulted in lower spreads on our match funded debt and a lower rate on our SSTL debt. The average effective rate on our match funded debt declined by more than one percentage point from the first quarter of 2012 to the first quarter of 2013 – from 4.93% to 3.84%. Similarly, the effective rate on our SSTL debt declined from 8.50% to 7.56% as a result of declines in both the margin applied to the interest rate index and in the floor placed on the interest rate index.</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assets and liabilities of the Servicing segment at the dates indicated: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4"/>
          </w:tcPr>
          <w:p>
            <w:pPr>
              <w:ind w:left="2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Borders>
              <w:bottom w:val="single" w:sz="8" w:color="CCEECC"/>
            </w:tcBorders>
          </w:tcPr>
          <w:p>
            <w:pPr>
              <w:spacing w:after="0"/>
              <w:rPr>
                <w:sz w:val="20"/>
                <w:szCs w:val="20"/>
                <w:color w:val="auto"/>
              </w:rPr>
            </w:pPr>
          </w:p>
        </w:tc>
        <w:tc>
          <w:tcPr>
            <w:tcW w:w="7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Advances</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522,032</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Match funded advances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3,436,083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3,049,244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amortized cost</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1,052,168</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676,712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Mortgage servicing rights, at fair value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Receivables, net</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72,796</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254,362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Premises and equipment</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40,404</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Debt service accounts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125,353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Asset purchase price deposit – ResCap Acquisition</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Prepaid lender fees and debt issuance costs,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36,100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25,865</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Loans held for sale, at lower of cost or fair value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44,666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19,137</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5,713,500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8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2,982,984</w:t>
            </w:r>
          </w:p>
        </w:tc>
        <w:tc>
          <w:tcPr>
            <w:tcW w:w="4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2,532,745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borrowings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1,707,796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165,971</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Amount due seller for purchase price adjustments – ResCap Acquisition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Due to related parties</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20,808</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28,764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Payable to servicing and subservicing investors</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11,153</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Servicing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CC"/>
          </w:tcPr>
          <w:p>
            <w:pPr>
              <w:spacing w:after="0"/>
              <w:rPr>
                <w:sz w:val="20"/>
                <w:szCs w:val="20"/>
                <w:color w:val="auto"/>
              </w:rPr>
            </w:pPr>
            <w:r>
              <w:rPr>
                <w:rFonts w:ascii="Arial" w:cs="Arial" w:eastAsia="Arial" w:hAnsi="Arial"/>
                <w:sz w:val="18"/>
                <w:szCs w:val="18"/>
                <w:color w:val="auto"/>
              </w:rPr>
              <w:t>Accrued interest payable</w:t>
            </w: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6,978</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48,495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CC"/>
              <w:bottom w:val="single" w:sz="8" w:color="CCEECC"/>
            </w:tcBorders>
            <w:shd w:val="clear" w:color="auto" w:fill="CCEECC"/>
          </w:tcPr>
          <w:p>
            <w:pPr>
              <w:ind w:left="12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5,056,883</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3,435,152</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ResCap Acquisition and the HLSS Transactions, collectively, had a significant effect on our balance sheet during the first three months of 2013. As a result of these transactions:</w:t>
      </w:r>
    </w:p>
    <w:p>
      <w:pPr>
        <w:spacing w:after="0" w:line="143" w:lineRule="exact"/>
        <w:rPr>
          <w:sz w:val="20"/>
          <w:szCs w:val="20"/>
          <w:color w:val="auto"/>
        </w:rPr>
      </w:pPr>
    </w:p>
    <w:p>
      <w:pPr>
        <w:ind w:left="660" w:right="1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Advances and Match funded advances increased by $732.5 million primarily due to the ResCap Acquisition which added $1.62 billion of advances offset by the sale of $703.2 million of advances to HLSS.</w:t>
      </w:r>
    </w:p>
    <w:p>
      <w:pPr>
        <w:spacing w:after="0" w:line="129"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MSRs, at amortized cost, increased by $375.5 million as a result of the ResCap Acquisition ($393.9 million) and new capitalization of MSRs from our lending operations ($28.7 million) offset by amortization ($48.0 million).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Recorded goodwill of $76.0 million in the Servicing segment in connection with the ResCap Acquisition.</w:t>
      </w:r>
    </w:p>
    <w:p>
      <w:pPr>
        <w:spacing w:after="0" w:line="198" w:lineRule="exact"/>
        <w:rPr>
          <w:rFonts w:ascii="Arial" w:cs="Arial" w:eastAsia="Arial" w:hAnsi="Arial"/>
          <w:sz w:val="18"/>
          <w:szCs w:val="18"/>
          <w:color w:val="auto"/>
        </w:rPr>
      </w:pPr>
    </w:p>
    <w:p>
      <w:pPr>
        <w:ind w:left="660" w:right="14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Following the ResCap Acquisition, we have an obligation as servicer to repurchase certain loans from Ginnie Mae guaranteed securitizations under certain circumstances including, but not limited to, in connection with loan modifications, immediately prior to foreclosure and in connection with loan resolutions. The balance of Loans held for sale, at lower of cost or fair value at March 31, 2013 includes $42.0 million of such loans.</w:t>
      </w:r>
    </w:p>
    <w:p>
      <w:pPr>
        <w:spacing w:after="0" w:line="106"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Match funded liabilities increased by $450.2 million due to new borrowings to finance the advances acquired in the ResCap Acquisition. Offsetting this increase, we used $625.8 million of proceeds from the sale of advances and MSRs to HLSS to repay match funded liabilities.</w:t>
      </w:r>
    </w:p>
    <w:p>
      <w:pPr>
        <w:spacing w:after="0" w:line="106" w:lineRule="exact"/>
        <w:rPr>
          <w:rFonts w:ascii="Arial" w:cs="Arial" w:eastAsia="Arial" w:hAnsi="Arial"/>
          <w:sz w:val="17"/>
          <w:szCs w:val="17"/>
          <w:color w:val="auto"/>
        </w:rPr>
      </w:pPr>
    </w:p>
    <w:p>
      <w:pPr>
        <w:ind w:left="660" w:right="40" w:hanging="328"/>
        <w:spacing w:after="0" w:line="29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borrowings increased by $1.0 billion primarily due to borrowings of $1.3 billion under a new SSTL facility. Financing liabilities that we recognized in connection with the HLSS Transactions increased by $90.1 million primarily as a result of a sale of Rights to MSRs in March accounted for as a financing. We repaid the existing SSTL which had an outstanding balance of $306.0 million net of discount at December 31, 2012 and recognized a loss on early redemption of $15.0 million representing the write-off of unamortized deferred costs and discount. We also repaid the senior unsecured loan agreement with Altisource under which we borrowed $75.0 million to finance a portion of the Homeward Acquisition.</w:t>
      </w:r>
    </w:p>
    <w:p>
      <w:pPr>
        <w:spacing w:after="0" w:line="131"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Accrued expenses increased by $85.4 million, primarily in connection with the ResCap Acquisition, which added $74.3 million, primarily related to a liability for compensatory fees for foreclosures that may ultimately exceed investor timelines.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Lending</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acquired Homeward’s loan origination platform on December 27, 2012 as part of the Homeward Acquisition. The Lending segment is focused on originating and purchasing agency-conforming residential mortgage loans mainly through our correspondent lending business. In addition, in 2012, Homeward commenced a direct lending business to initially pursue refinancing opportunities from its existing servicing portfolio, where permitted. The loans are typically sold shortly after origination into a liquid market on a servicing retained basis.</w:t>
      </w:r>
    </w:p>
    <w:p>
      <w:pPr>
        <w:spacing w:after="0" w:line="16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Lending provides a low cost means of acquiring MSRs with good return profiles and a thorough risk review. Loans come through correspondent lender relationships and by directly originating loans for customers in our servicing portfolio. We grew the number of correspondent relationships and the number of loan officers in the first quarter, funding $2.4 billion amidst a market that declined by almost 20% from the prior quarter. The smaller market has resulted in smaller lending margins and a smaller proportion of refinance loans in the market. Our business is well positioned to shift with the market given a diverse set of correspondent lenders whose purchase/refinance mix, in aggregate, resembles the market. Additionally, our Lending business operates with a highly variable cost structure enabling us to adapt to market size changes.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w w:val="96"/>
              </w:rPr>
              <w:t>The following table presents the results of operations of the Lending segment for the three months ended March 31, 2013:</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60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Net interest income</w:t>
            </w:r>
          </w:p>
        </w:tc>
        <w:tc>
          <w:tcPr>
            <w:tcW w:w="6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Other income, net</w:t>
            </w:r>
          </w:p>
        </w:tc>
        <w:tc>
          <w:tcPr>
            <w:tcW w:w="60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320"/>
              <w:spacing w:after="0"/>
              <w:rPr>
                <w:sz w:val="20"/>
                <w:szCs w:val="20"/>
                <w:color w:val="auto"/>
              </w:rPr>
            </w:pPr>
            <w:r>
              <w:rPr>
                <w:rFonts w:ascii="Arial" w:cs="Arial" w:eastAsia="Arial" w:hAnsi="Arial"/>
                <w:sz w:val="18"/>
                <w:szCs w:val="18"/>
                <w:color w:val="auto"/>
              </w:rPr>
              <w:t>The following table presents assets and liabilities of the Lending segment at the dates indicated:</w:t>
            </w: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Loans held for sale, at fair value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295,540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426,480</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120,405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121,458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14,970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3,795</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430,915</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551,733</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-608330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-325120</wp:posOffset>
            </wp:positionV>
            <wp:extent cx="72466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66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 (2)</w:t>
            </w:r>
          </w:p>
        </w:tc>
        <w:tc>
          <w:tcPr>
            <w:tcW w:w="3900" w:type="dxa"/>
            <w:vAlign w:val="bottom"/>
            <w:gridSpan w:val="2"/>
            <w:shd w:val="clear" w:color="auto" w:fill="CCEEC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277,505</w:t>
            </w:r>
          </w:p>
        </w:tc>
        <w:tc>
          <w:tcPr>
            <w:tcW w:w="500" w:type="dxa"/>
            <w:vAlign w:val="bottom"/>
            <w:gridSpan w:val="2"/>
            <w:shd w:val="clear" w:color="auto" w:fill="CCEEC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388,075</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5180" w:type="dxa"/>
            <w:vAlign w:val="bottom"/>
            <w:tcBorders>
              <w:top w:val="single" w:sz="8" w:color="CCEECC"/>
              <w:bottom w:val="single" w:sz="8" w:color="CCEECC"/>
            </w:tcBorders>
            <w:shd w:val="clear" w:color="auto" w:fill="CCEECC"/>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64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285,371</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388,094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6 – Loans Held For Sale, At Fair Value for additional information.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15 – Other Borrowings for additional information regarding warehouse facilities used to fund originations of loans.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Corporate Items and Other for the periods ended March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Borders>
              <w:bottom w:val="single" w:sz="8" w:color="CCEECC"/>
            </w:tcBorders>
          </w:tcPr>
          <w:p>
            <w:pPr>
              <w:spacing w:after="0"/>
              <w:rPr>
                <w:sz w:val="20"/>
                <w:szCs w:val="20"/>
                <w:color w:val="auto"/>
              </w:rPr>
            </w:pPr>
          </w:p>
        </w:tc>
        <w:tc>
          <w:tcPr>
            <w:tcW w:w="3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32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16,712</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20,968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Loss from operations</w:t>
            </w:r>
          </w:p>
        </w:tc>
        <w:tc>
          <w:tcPr>
            <w:tcW w:w="3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(4,256</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CC"/>
          </w:tcPr>
          <w:p>
            <w:pPr>
              <w:ind w:left="120"/>
              <w:spacing w:after="0"/>
              <w:rPr>
                <w:sz w:val="20"/>
                <w:szCs w:val="20"/>
                <w:color w:val="auto"/>
              </w:rPr>
            </w:pPr>
            <w:r>
              <w:rPr>
                <w:rFonts w:ascii="Arial" w:cs="Arial" w:eastAsia="Arial" w:hAnsi="Arial"/>
                <w:sz w:val="18"/>
                <w:szCs w:val="18"/>
                <w:color w:val="auto"/>
              </w:rPr>
              <w:t>Net interest income</w:t>
            </w:r>
          </w:p>
        </w:tc>
        <w:tc>
          <w:tcPr>
            <w:tcW w:w="3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Other income (expense), net</w:t>
            </w:r>
          </w:p>
        </w:tc>
        <w:tc>
          <w:tcPr>
            <w:tcW w:w="3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Loss before income taxes</w:t>
            </w:r>
          </w:p>
        </w:tc>
        <w:tc>
          <w:tcPr>
            <w:tcW w:w="34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(1,113)</w:t>
            </w:r>
          </w:p>
        </w:tc>
        <w:tc>
          <w:tcPr>
            <w:tcW w:w="4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CC"/>
            </w:tcBorders>
          </w:tcPr>
          <w:p>
            <w:pPr>
              <w:spacing w:after="0" w:line="20" w:lineRule="exact"/>
              <w:rPr>
                <w:sz w:val="1"/>
                <w:szCs w:val="1"/>
                <w:color w:val="auto"/>
              </w:rPr>
            </w:pPr>
          </w:p>
        </w:tc>
        <w:tc>
          <w:tcPr>
            <w:tcW w:w="3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347" w:lineRule="auto"/>
        <w:rPr>
          <w:sz w:val="20"/>
          <w:szCs w:val="20"/>
          <w:color w:val="auto"/>
        </w:rPr>
      </w:pPr>
      <w:r>
        <w:rPr>
          <w:rFonts w:ascii="Arial" w:cs="Arial" w:eastAsia="Arial" w:hAnsi="Arial"/>
          <w:sz w:val="16"/>
          <w:szCs w:val="16"/>
          <w:b w:val="1"/>
          <w:bCs w:val="1"/>
          <w:color w:val="auto"/>
        </w:rPr>
        <w:t>Three months ended March 2013 versus March 2012</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and expenses for the first quarter of 2013 include $14.8 million and $12.5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related to the diversified fee-based business we acquired as part of the Homeward Acquisition and subsequently sold on March 29, 2013.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2" w:name="page53"/>
    <w:bookmarkEnd w:id="52"/>
    <w:p>
      <w:pPr>
        <w:ind w:firstLine="324"/>
        <w:spacing w:after="0" w:line="255" w:lineRule="auto"/>
        <w:rPr>
          <w:sz w:val="20"/>
          <w:szCs w:val="20"/>
          <w:color w:val="auto"/>
        </w:rPr>
      </w:pPr>
      <w:r>
        <w:rPr>
          <w:rFonts w:ascii="Arial" w:cs="Arial" w:eastAsia="Arial" w:hAnsi="Arial"/>
          <w:sz w:val="18"/>
          <w:szCs w:val="18"/>
          <w:color w:val="auto"/>
        </w:rPr>
        <w:t>Other, net in the first quarter of 2013 includes $1.8 million of equity in earnings in Powerlink Settlement Services, LP (Powerlink), an entity in which we hold a 69.79% interest that we acquired as part of the Homeward Acquisition. Powerlink provides title, closing and valuation services. Other, net in the first quarter of 2012 includes $5.5 million of net realized and unrealized losses on derivatives including the recognition of $6.0 million of deferred hedge losses on interest rate swaps that were previously included in AOCL. We had entered into these swaps to hedge the effects of changes in the interest rate on notes issued in connection with the financing of advances acquired as part of the HomEq Acquisition. We terminated the hedging relationship when the advance facility was assumed by HLSS on March 5, 2012. These losses were offset by a realized gain of $3.4 million on our termination of foreign exchange forward contracts in January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w w:val="95"/>
              </w:rPr>
              <w:t>The following table presents the assets and liabilities of Corporate Items and Other at the dates indicated: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Borders>
              <w:bottom w:val="single" w:sz="8" w:color="CCEECC"/>
            </w:tcBorders>
          </w:tcPr>
          <w:p>
            <w:pPr>
              <w:spacing w:after="0"/>
              <w:rPr>
                <w:sz w:val="20"/>
                <w:szCs w:val="20"/>
                <w:color w:val="auto"/>
              </w:rPr>
            </w:pPr>
          </w:p>
        </w:tc>
        <w:tc>
          <w:tcPr>
            <w:tcW w:w="4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663,250</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Loans held for sale, at lower of cost or fair value (1)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17,949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Acquisition deposits (2)</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31,149</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Advances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8,140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52,593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55,292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receivables,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Goodwill (3)</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128,850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77,011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95,137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92,136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18,427</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19,289</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Investment in unconsolidated entities (4)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12,353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Interest-earning collateral deposits (5)</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29,648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23,193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Prepaid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23,112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6,568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6,205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11,490</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1,103,600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658,394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2,593</w:t>
            </w:r>
          </w:p>
        </w:tc>
        <w:tc>
          <w:tcPr>
            <w:tcW w:w="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2,833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17,760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Liability for selected tax items</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22,338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22,702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Derivatives, at fair value (4)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20,355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4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2,881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27,077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6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6,627</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3,493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99,631</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80" w:hanging="332"/>
        <w:spacing w:after="0" w:line="31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Loans held for resale are net of valuation allowances of $13.7 million and $13.8 million at March 31, 2012 and December 31, 2012, respectively. In December 2012, we acquired non-performing mortgage loans with an aggregate UPB of $124.3 million for a purchase price of $65.4 million. We sold these loans to Altisource Residential, LP in February 2013 for an insignificant gain. See Note 22 – Related Party Transactions.</w:t>
      </w:r>
    </w:p>
    <w:p>
      <w:pPr>
        <w:spacing w:after="0" w:line="106"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balance represents funds we transferred prior to the closing of our acquisition of Genworth Financial Home Equity Access, Inc. on April 1, 2013.</w:t>
      </w:r>
    </w:p>
    <w:p>
      <w:pPr>
        <w:spacing w:after="0" w:line="221" w:lineRule="exact"/>
        <w:rPr>
          <w:rFonts w:ascii="Arial" w:cs="Arial" w:eastAsia="Arial" w:hAnsi="Arial"/>
          <w:sz w:val="16"/>
          <w:szCs w:val="16"/>
          <w:color w:val="auto"/>
        </w:rPr>
      </w:pPr>
    </w:p>
    <w:p>
      <w:pPr>
        <w:ind w:left="340" w:right="20" w:hanging="332"/>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assigned $128.8 million of goodwill to the fee-based businesses acquired in the ResCap Acquisition. We subsequently sold this business to Altisource on April 12, 2013. See Note 3 – Business Acquisitions and Note 25 – Subsequent Events for additional information. Offsetting this increase, goodwill assigned to the diversified fee-based business acquired from Homeward in 2012 was derecognized upon the sale of this business to Altisource on March 29 2013.</w:t>
      </w:r>
    </w:p>
    <w:p>
      <w:pPr>
        <w:spacing w:after="0" w:line="146"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disclosed in Note 3 – Business Acquisitions, on March 31, 2013, we increased our ownership in Correspondent One to 100% by acquiring the 51% of shares held by others (including 49% held by Altisource). As a result, we began including the accounts of Correspondent One in our unaudited Consolidated Financial Statements as of the acquisition date and have eliminated our investment.</w:t>
      </w:r>
    </w:p>
    <w:p>
      <w:pPr>
        <w:spacing w:after="0" w:line="140"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disclosed in Note 18 – Derivative Financial Instruments to the unaudited Interim Consolidated Financial Statements, we have entered into interest rate swap agreements to hedge against our exposure to an increase in variable interest rates on match funded advance borrowings. Interest-earning collateral deposits at March 31, 2013 and December 31, 2012 includes $25.7 million and $19.3 million, respectively, of cash collateral on deposit with the counterparties to our derivatives, the majority of which relates to the swap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March 31, 2013, our cash position was $663.4 million compared to $220.1 million at December 31, 2012. We invest cash that is in excess of our immediate operating needs primarily in money market deposit accounts.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189" w:lineRule="exact"/>
        <w:rPr>
          <w:sz w:val="20"/>
          <w:szCs w:val="20"/>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184" w:lineRule="exact"/>
        <w:rPr>
          <w:rFonts w:ascii="Arial" w:cs="Arial" w:eastAsia="Arial" w:hAnsi="Arial"/>
          <w:sz w:val="18"/>
          <w:szCs w:val="18"/>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198" w:lineRule="exact"/>
        <w:rPr>
          <w:rFonts w:ascii="Arial" w:cs="Arial" w:eastAsia="Arial" w:hAnsi="Arial"/>
          <w:sz w:val="18"/>
          <w:szCs w:val="18"/>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184" w:lineRule="exact"/>
        <w:rPr>
          <w:rFonts w:ascii="Arial" w:cs="Arial" w:eastAsia="Arial" w:hAnsi="Arial"/>
          <w:sz w:val="18"/>
          <w:szCs w:val="18"/>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184" w:lineRule="exact"/>
        <w:rPr>
          <w:rFonts w:ascii="Arial" w:cs="Arial" w:eastAsia="Arial" w:hAnsi="Arial"/>
          <w:sz w:val="18"/>
          <w:szCs w:val="18"/>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advances to HLSS</w:t>
      </w:r>
    </w:p>
    <w:p>
      <w:pPr>
        <w:spacing w:after="0" w:line="198" w:lineRule="exact"/>
        <w:rPr>
          <w:rFonts w:ascii="Arial" w:cs="Arial" w:eastAsia="Arial" w:hAnsi="Arial"/>
          <w:sz w:val="18"/>
          <w:szCs w:val="18"/>
          <w:color w:val="auto"/>
        </w:rPr>
      </w:pPr>
    </w:p>
    <w:p>
      <w:pPr>
        <w:ind w:left="620" w:hanging="30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1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Advances and match funded advances comprised 55% of total assets at March 31, 2013. Most of our advances have the highest reimbursement priority (i.e., “top of the waterfall”) whereby we are entitled to repayment from respective loan or REO liquidation proceeds before any interest or principal is paid to investors.</w:t>
      </w:r>
    </w:p>
    <w:p>
      <w:pPr>
        <w:spacing w:after="0" w:line="14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use mortgage loan warehouse facilities to fund newly-originated loans on a short-term basis until they are sold to secondary market investors, including GSEs or other third 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In the first quarter of 2013, we extended the maturity date of a number of our warehouse facilities. See Note 15 – Other Borrowings to our unaudited Interim Consolidated Financial Statements for additional details.</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 although we cannot assure you that they will be available on terms that we find acceptable. In connection with the ResCap Acquisition in February 2013, we repaid the borrowings under our existing SSTL with a portion of the proceeds of a new $1.3 billion SSTL facility. We also added $1.2 billion of match funded debt under three advance funding facilities. See Note 3 – Business Acquisitions to our unaudited Interim Consolidated Financial Statements for additional information.</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Federal Housing Authority (FHA) or U.S. Department of Veteran Affairs (VA).</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9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3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Available borrowing capacity.</w:t>
      </w:r>
    </w:p>
    <w:p>
      <w:pPr>
        <w:spacing w:after="0" w:line="18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At March 31, 2013, $1.6 billion of our total maximum borrowing capacity of $6.6 billion remained available under our servicing advance facilities although none could be used. We maintain available borrowing capacity for three reasons:</w:t>
      </w:r>
    </w:p>
    <w:p>
      <w:pPr>
        <w:spacing w:after="0" w:line="14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52" w:right="239" w:bottom="829" w:gutter="0" w:footer="0" w:header="0"/>
        </w:sectPr>
      </w:pPr>
    </w:p>
    <w:bookmarkStart w:id="54" w:name="page55"/>
    <w:bookmarkEnd w:id="54"/>
    <w:p>
      <w:pPr>
        <w:ind w:right="220" w:firstLine="324"/>
        <w:spacing w:after="0" w:line="261"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order to reduce fees charged by lenders (which we recognize as interest expense), we limit available borrowing capacity to a level that we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prudent relative to the current levels of advances and to our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14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believe that we have sufficient capacity to fund all but the largest servicing acquisitions without issuing equity capital. Additional senior secured debt and borrowings under servicing advance facilities was sufficient to fund the ResCap Acquisition without the need to raise new equity.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three months ended March 31, 2013, we:</w:t>
      </w:r>
    </w:p>
    <w:p>
      <w:pPr>
        <w:spacing w:after="0" w:line="18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Borrowed $1.3 billion under a new SSTL facility in connection with the ResCap Acquisition and repaid the remaining balance of the existing SSTL.</w:t>
      </w:r>
    </w:p>
    <w:p>
      <w:pPr>
        <w:spacing w:after="0" w:line="207"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Borrowed $1.2 billion under two new facilities and one existing facility in connection with the financing of advances that we acquired in connection with the ResCap Acquisition;</w:t>
      </w:r>
    </w:p>
    <w:p>
      <w:pPr>
        <w:spacing w:after="0" w:line="14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Borrowed $1.2 billion under a new $1.4 billion bridge facility. The proceeds from this bridge facility were used to repay certain advance facilities that were assumed in the Homeward Acquisition;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Repaid $625.8 million in match funded advance facilities from the proceeds received from the sale of advances to HLSS;</w:t>
      </w:r>
    </w:p>
    <w:p>
      <w:pPr>
        <w:spacing w:after="0" w:line="184"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Pledged additional collateral [or amended the maximum borrowing capacity], increasing our available borrowing capacity under our warehouse facilities in connection with our Lending business activities.</w:t>
      </w:r>
    </w:p>
    <w:p>
      <w:pPr>
        <w:spacing w:after="0" w:line="1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Maximum borrowing capacity for match funded advances increased by $281.4 million to $4.0 billion at March 31, 2013 from $3.7 billion at December 31, 2012. During the first three months of 2013, we increased maximum borrowing capacity by $3.0 billion in connection with the new bridge facility and the ResCap Acquisition. Offsetting this increase, we fully repaid and terminated match funded advance financing facilities that had total aggregate maximum borrowing capacity of $2.6 billion at December 31, 2012.</w:t>
      </w:r>
    </w:p>
    <w:p>
      <w:pPr>
        <w:spacing w:after="0" w:line="14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available advance borrowing capacity decreased from $1.2 billion at December 31, 2012 to $992.0 million at March 31, 2013, although none could be used because we had borrowed the maximum amount given the available collateral. During the first three months of 2013, we repaid and terminated match funded advance financing facilities that had total aggregate available borrowing capacity of $682.9 million at December 31, 2012. Available borrowing capacity on the new bridge facility and the two new facilities that we added during the first quarter of 2013 in connection with the ResCap Acquisition was $580.4 million at March 31, 2013. Our ability to finance servicing advances is a significant factor that affects our liquidity.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large majority of our collateral qualifies for financing under the advance facility to which it is pledged.</w:t>
      </w:r>
    </w:p>
    <w:p>
      <w:pPr>
        <w:spacing w:after="0" w:line="13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would be lessened if we maintained our ability to utilize spare capacity on our advance facilities because approximately 75%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to continue to decline.</w:t>
      </w:r>
    </w:p>
    <w:p>
      <w:pPr>
        <w:spacing w:after="0" w:line="1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4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Cash flows for the three months ended March 31, 2013. </w:t>
      </w:r>
      <w:r>
        <w:rPr>
          <w:rFonts w:ascii="Arial" w:cs="Arial" w:eastAsia="Arial" w:hAnsi="Arial"/>
          <w:sz w:val="18"/>
          <w:szCs w:val="18"/>
          <w:color w:val="auto"/>
        </w:rPr>
        <w:t>Our operating activities provided $401.9 million of cash largely due to $186.4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$114.1 million of net cash provided by our loans held for sale activities and net income adjusted for MSR amortization and other non-cash items. Operating cash flows were used principally to repay related match funded liabilities and to fund the portions of the ResCap Acquisition not funded through borrowings.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55" w:name="page56"/>
    <w:bookmarkEnd w:id="55"/>
    <w:p>
      <w:pPr>
        <w:ind w:firstLine="324"/>
        <w:spacing w:after="0" w:line="279" w:lineRule="auto"/>
        <w:rPr>
          <w:sz w:val="20"/>
          <w:szCs w:val="20"/>
          <w:color w:val="auto"/>
        </w:rPr>
      </w:pPr>
      <w:r>
        <w:rPr>
          <w:rFonts w:ascii="Arial" w:cs="Arial" w:eastAsia="Arial" w:hAnsi="Arial"/>
          <w:sz w:val="17"/>
          <w:szCs w:val="17"/>
          <w:color w:val="auto"/>
        </w:rPr>
        <w:t>Our investing activities used $1.28 billion of cash. We paid $2.1 billion to acquire ResCap, including advances of $1.6 billion and MSRs of $393.9 million. Cash inflows from investing activities include $713.6 million of proceeds from HLSS from the sale of advances and $87.0 million from the sale to Altisource of the diversified fee-based business acquired in the Homeward Acquisition. As disclosed below in the discussion of financing activities, we used a portion of the proceeds from the sales to HLSS to repay match funded liabilities and for required prepayments of the SSTL.</w:t>
      </w:r>
    </w:p>
    <w:p>
      <w:pPr>
        <w:spacing w:after="0" w:line="13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financing activities provided $1.32 billion of cash. To finance the ResCap acquisition, we deployed approximately $840.0 million of net additional capital from the proceeds of a new $1.3 billion SSTL facility and borrowed $1.2 billion pursuant to three servicing advance facilities. We received $100.7 million from the sale of Rights to MSRs to HLSS in a transaction accounted for as a financing. We used collections of servicing advances and $625.8 million of the proceeds received from the HLSS Transactions from the sale of Rights to MSRs and advances to repay match funded liabilities. Debt issuance costs paid on the new SSTL were $24.0 million. Borrowings under mortgage loan warehouse facilities used to fund newly-originated loans until they are sold declined by $110.6 million as sales exceeded originations during the quarter.</w:t>
      </w:r>
    </w:p>
    <w:p>
      <w:pPr>
        <w:spacing w:after="0" w:line="162" w:lineRule="exact"/>
        <w:rPr>
          <w:sz w:val="20"/>
          <w:szCs w:val="20"/>
          <w:color w:val="auto"/>
        </w:rPr>
      </w:pPr>
    </w:p>
    <w:p>
      <w:pPr>
        <w:ind w:right="360" w:firstLine="324"/>
        <w:spacing w:after="0" w:line="281" w:lineRule="auto"/>
        <w:rPr>
          <w:sz w:val="20"/>
          <w:szCs w:val="20"/>
          <w:color w:val="auto"/>
        </w:rPr>
      </w:pPr>
      <w:r>
        <w:rPr>
          <w:rFonts w:ascii="Arial" w:cs="Arial" w:eastAsia="Arial" w:hAnsi="Arial"/>
          <w:sz w:val="17"/>
          <w:szCs w:val="17"/>
          <w:b w:val="1"/>
          <w:bCs w:val="1"/>
          <w:color w:val="auto"/>
        </w:rPr>
        <w:t xml:space="preserve">Cash flows for the three months ended March 31, 2012. </w:t>
      </w:r>
      <w:r>
        <w:rPr>
          <w:rFonts w:ascii="Arial" w:cs="Arial" w:eastAsia="Arial" w:hAnsi="Arial"/>
          <w:sz w:val="17"/>
          <w:szCs w:val="17"/>
          <w:color w:val="auto"/>
        </w:rPr>
        <w:t>Our operating activities provided $373.0 million of cash largely due to collections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servicing advances (primarily on the Litton portfolio) and net income adjusted for amortization and other non-cash items. Excluding the match funded advances sold to HLSS in connection with the HLSS Transaction, collections of servicing advances were $318.4 million. Operating cash flows were used principally to increase cash balances to support the closing of MSR transactions in April 2012.</w:t>
      </w:r>
    </w:p>
    <w:p>
      <w:pPr>
        <w:spacing w:after="0" w:line="12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investing activities provided $79.8 million of cash. We received $87.3 million of proceeds from HLSS on the sale of Advance SPEs. We also received $1.7 million of distributions from one of our asset management entities during the first quarter. Cash used for additions to premises and equipment of $10.7 million primarily relates to the build-out of two new leased facilities in India and the disaster recovery facility located in the U.S.</w:t>
      </w:r>
    </w:p>
    <w:p>
      <w:pPr>
        <w:spacing w:after="0" w:line="1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financing activities provided $86.9 million of cash consisting primarily of $79.7 million received from match funded liabilities, excluding the match funded liabilities assumed by HLSS as part of the HLSS Transaction. In addition, we received $62.5 million from the sale of Rights to MSRs to HLSS in a transaction accounted for as a financing. These cash inflows were partially offset by repayments of $51.8 million on the $575.0 million SSTL including a required prepayment of $37.4 million from the proceeds received on the HLSS Transaction.</w:t>
      </w:r>
    </w:p>
    <w:p>
      <w:pPr>
        <w:spacing w:after="0" w:line="156" w:lineRule="exact"/>
        <w:rPr>
          <w:sz w:val="20"/>
          <w:szCs w:val="20"/>
          <w:color w:val="auto"/>
        </w:rPr>
      </w:pPr>
    </w:p>
    <w:p>
      <w:pPr>
        <w:ind w:right="4680"/>
        <w:spacing w:after="0" w:line="456"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spacing w:after="0" w:line="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we have adequate resources to fund all unfunded commitments to the extent required and meet all contractual obligations as they come due. At March 31, 2013, such contractual obligations were comprised of secured borrowings, interest payments and operating leases. There were no significant changes to our contractual obligations during the three months ended March 31, 2013. See Note 24 – Commitments and Contingencies to the unaudited Interim Consolidated Financial Statements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as well as our exposure to changes in the value of the India Rupee. The notional amounts of our derivative contracts do not reflect our exposure to credit loss. See Note 18 – Derivative Financial Instruments to the unaudited Interim Consolidated Financial Statements for additional information regarding derivatives.</w:t>
      </w:r>
    </w:p>
    <w:p>
      <w:pPr>
        <w:spacing w:after="0" w:line="16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3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w:t>
      </w:r>
    </w:p>
    <w:p>
      <w:pPr>
        <w:spacing w:after="0" w:line="18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Liability. </w:t>
      </w:r>
      <w:r>
        <w:rPr>
          <w:rFonts w:ascii="Arial" w:cs="Arial" w:eastAsia="Arial" w:hAnsi="Arial"/>
          <w:sz w:val="17"/>
          <w:szCs w:val="17"/>
          <w:color w:val="auto"/>
        </w:rPr>
        <w:t>As a result of the Homeward Acquisition, we have exposure to potential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and indemnifications in our capacity as a loan originator and servicer. The estimation of the liability for probable losses related to repurchase and indemnification obligations as loan originator and servicer considers an estimate of probable future repurchase or indemnification obligations based on industry data of loans of similar type segregated by year of origination. An estimated loss severity, based on current loss rates for similar loans, is then applied to probable repurchases and indemnifications to estimate the liability for loan repurchases and indemnifications.</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we assumed the warranties and obligations for the loans underlying one of our MSR acquisitions where we assumed the origination representation and warranties. The liability for loan repurchases and indemnifications is calculated using a model to estimate future loan repurchase requests with historical loss rates applied to determine incurred losses. Our historical loss rates consider our historical loss experience we incur upon sale or liquidation of a repurchased loan as well as current market conditions.</w:t>
      </w:r>
    </w:p>
    <w:p>
      <w:pPr>
        <w:spacing w:after="0" w:line="146"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underlying trends for loan repurchases and indemnifications are volatile, and there is a significant amount of uncertainty regarding our expectations of future loan repurchases and indemnifications and related loss severities. Due to the significant uncertainties surrounding these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if weakness in the housing market continues and further declines in home values occur, then our realized losses from loan repurchases and indemnifications may ultimately be in excess of our recorded liability. Given the levels of realized losses in recent periods, there is a reasonable possibility that future losses may be in excess of our recorded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Listed below are recent accounting pronouncements that we had not yet adopted as of March 31, 2013. We are currently evaluating the effect of adopting this standard effective January 1, 2014, but we do not anticipate that our adoption will have a material impact on our consolidated financial statements:</w:t>
      </w:r>
    </w:p>
    <w:p>
      <w:pPr>
        <w:spacing w:after="0" w:line="83" w:lineRule="exact"/>
        <w:rPr>
          <w:sz w:val="20"/>
          <w:szCs w:val="20"/>
          <w:color w:val="auto"/>
        </w:rPr>
      </w:pPr>
    </w:p>
    <w:p>
      <w:pPr>
        <w:ind w:left="660" w:right="4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ASU 2013-04 (ASC 405, Liabilities): Obligations Resulting from Joint and Several Liability Arrangements for Which the Total Amount of the Obligation Is Fixed at the Reporting Date, a consensus of the FASB Emerging Issues Task Force.</w:t>
      </w:r>
    </w:p>
    <w:p>
      <w:pPr>
        <w:spacing w:after="0" w:line="143"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p>
    <w:p>
      <w:pPr>
        <w:spacing w:after="0" w:line="14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 addition to the recently issued accounting pronouncements listed above, listed below are accounting pronouncements we adopted on January 1, 2013 that that require additional disclosures only and did not have a material effect on our unaudited Interim Consolidated Financial Statements.</w:t>
      </w:r>
    </w:p>
    <w:p>
      <w:pPr>
        <w:spacing w:after="0" w:line="10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r>
        <w:rPr>
          <w:rFonts w:ascii="Arial" w:cs="Arial" w:eastAsia="Arial" w:hAnsi="Arial"/>
          <w:sz w:val="18"/>
          <w:szCs w:val="18"/>
          <w:i w:val="1"/>
          <w:iCs w:val="1"/>
          <w:color w:val="auto"/>
        </w:rPr>
        <w: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ASU 2013-02 (ASC 220, Comprehensive Income): Reporting of Amounts Reclassified Out of Accumulated Other Comprehensive Income.</w:t>
      </w:r>
    </w:p>
    <w:p>
      <w:pPr>
        <w:spacing w:after="0" w:line="19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principal effect of ASU 2011-11 and ASU 2013-01 is to require additional disclosures that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Other than this additional disclosure, our adoption of these two pronouncements did not have a material effect on our unaudited Interim Consolidated Financial Statements.</w:t>
      </w:r>
    </w:p>
    <w:p>
      <w:pPr>
        <w:spacing w:after="0" w:line="1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amendments in ASU 2013-02 did not have a material impact on our unaudited Interim Consolidated Financial Statements. However, we are required to disclose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See Note 2 – Recent Accounting Pronouncements to our unaudited Interim Consolidated Financial Statements for additional information.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principal exposures to market risk include interest rate risk, liquidity risk, consumer credit risk, counterparty credit risk and foreign currency exchange rate risk. Market risk also reflects the risk of declines in the valuation of financial instruments and the collateral underlying loans. Our Investment Committee reviews significant transactions that may affect market risk and is authorized to utilize a wide variety of techniques and strategies to manage market risk.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IRLCs</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Our mortgage loans held for sale, which we hold in inventory while awaiting sale into the secondary market, and our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138"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For our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8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MSRs that we have elected to carry at fair value are subject to interest rate risk as the mortgage notes underlying the MSRs permit the borrowers to prepay the loans. Consequently, the value of these MSRs generally tends to diminish in periods of declining interest rates (as prepayments increase) and tends to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11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For these MSRs, we may enter into economic hedges, including interest rate swaps, U.S. Treasury futures and forward MBS trades to minimize the effects of loss in value associated with increased prepayment activity that generally results from declining interest rates. 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Our hedging policy permits us to use mortgage TBA instruments and options on mortgage TBAs, Treasury and Eurodollar futures and options on U.S. Treasury and Eurodollar futures as well as interest rate swaps, interest rate caps and interest rate forwards, floors and swaptions as hedge instruments in our MSR hedging program. Effective April 1, 2013, we terminated the hedging program for our fair value MSRs and closed out the remaining economic hedge positions.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estimated change in the fair value of our fair value MSRs, fair value loans held for sale and related derivatives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given hypothetical instantaneous parallel shifts in the yield curve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Change in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Down 25 bps</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Up 25 bps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11,491</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Forward MBS trades</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shd w:val="clear" w:color="auto" w:fill="CCEECC"/>
          </w:tcPr>
          <w:p>
            <w:pPr>
              <w:ind w:left="120"/>
              <w:spacing w:after="0"/>
              <w:rPr>
                <w:sz w:val="20"/>
                <w:szCs w:val="20"/>
                <w:color w:val="auto"/>
              </w:rPr>
            </w:pPr>
            <w:r>
              <w:rPr>
                <w:rFonts w:ascii="Arial" w:cs="Arial" w:eastAsia="Arial" w:hAnsi="Arial"/>
                <w:sz w:val="18"/>
                <w:szCs w:val="18"/>
                <w:color w:val="auto"/>
              </w:rPr>
              <w:t>Total loans held for sale and related derivatives</w:t>
            </w:r>
          </w:p>
        </w:tc>
        <w:tc>
          <w:tcPr>
            <w:tcW w:w="26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Fair value MSRs</w:t>
            </w:r>
          </w:p>
        </w:tc>
        <w:tc>
          <w:tcPr>
            <w:tcW w:w="26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(8,763)</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MSRs, embedded in pipeline</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shd w:val="clear" w:color="auto" w:fill="CCEECC"/>
          </w:tcPr>
          <w:p>
            <w:pPr>
              <w:ind w:left="120"/>
              <w:spacing w:after="0"/>
              <w:rPr>
                <w:sz w:val="20"/>
                <w:szCs w:val="20"/>
                <w:color w:val="auto"/>
              </w:rPr>
            </w:pPr>
            <w:r>
              <w:rPr>
                <w:rFonts w:ascii="Arial" w:cs="Arial" w:eastAsia="Arial" w:hAnsi="Arial"/>
                <w:sz w:val="18"/>
                <w:szCs w:val="18"/>
                <w:color w:val="auto"/>
              </w:rPr>
              <w:t>Total fair value MSRs</w:t>
            </w:r>
          </w:p>
        </w:tc>
        <w:tc>
          <w:tcPr>
            <w:tcW w:w="26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(9,763</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Derivatives related to fair value MSRs (1)</w:t>
            </w:r>
          </w:p>
        </w:tc>
        <w:tc>
          <w:tcPr>
            <w:tcW w:w="2640" w:type="dxa"/>
            <w:vAlign w:val="bottom"/>
            <w:tcBorders>
              <w:bottom w:val="single" w:sz="8" w:color="CCEE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CC"/>
          </w:tcPr>
          <w:p>
            <w:pPr>
              <w:ind w:left="120"/>
              <w:spacing w:after="0"/>
              <w:rPr>
                <w:sz w:val="20"/>
                <w:szCs w:val="20"/>
                <w:color w:val="auto"/>
              </w:rPr>
            </w:pPr>
            <w:r>
              <w:rPr>
                <w:rFonts w:ascii="Arial" w:cs="Arial" w:eastAsia="Arial" w:hAnsi="Arial"/>
                <w:sz w:val="18"/>
                <w:szCs w:val="18"/>
                <w:color w:val="auto"/>
              </w:rPr>
              <w:t>Total fair value MSRs and related derivatives</w:t>
            </w:r>
          </w:p>
        </w:tc>
        <w:tc>
          <w:tcPr>
            <w:tcW w:w="2640" w:type="dxa"/>
            <w:vAlign w:val="bottom"/>
            <w:shd w:val="clear" w:color="auto" w:fill="CCEECC"/>
          </w:tcPr>
          <w:p>
            <w:pPr>
              <w:spacing w:after="0"/>
              <w:rPr>
                <w:sz w:val="18"/>
                <w:szCs w:val="18"/>
                <w:color w:val="auto"/>
              </w:rPr>
            </w:pPr>
          </w:p>
        </w:tc>
        <w:tc>
          <w:tcPr>
            <w:tcW w:w="260" w:type="dxa"/>
            <w:vAlign w:val="bottom"/>
            <w:tcBorders>
              <w:bottom w:val="single" w:sz="8" w:color="auto"/>
            </w:tcBorders>
            <w:shd w:val="clear" w:color="auto" w:fill="CCEECC"/>
          </w:tcPr>
          <w:p>
            <w:pPr>
              <w:spacing w:after="0"/>
              <w:rPr>
                <w:sz w:val="18"/>
                <w:szCs w:val="18"/>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(9,763</w:t>
            </w:r>
          </w:p>
        </w:tc>
        <w:tc>
          <w:tcPr>
            <w:tcW w:w="240" w:type="dxa"/>
            <w:vAlign w:val="bottom"/>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CC"/>
          </w:tcPr>
          <w:p>
            <w:pPr>
              <w:spacing w:after="0"/>
              <w:rPr>
                <w:sz w:val="18"/>
                <w:szCs w:val="18"/>
                <w:color w:val="auto"/>
              </w:rPr>
            </w:pPr>
          </w:p>
        </w:tc>
        <w:tc>
          <w:tcPr>
            <w:tcW w:w="100" w:type="dxa"/>
            <w:vAlign w:val="bottom"/>
            <w:tcBorders>
              <w:bottom w:val="single" w:sz="8" w:color="auto"/>
            </w:tcBorders>
            <w:shd w:val="clear" w:color="auto" w:fill="CCEECC"/>
          </w:tcPr>
          <w:p>
            <w:pPr>
              <w:spacing w:after="0"/>
              <w:rPr>
                <w:sz w:val="18"/>
                <w:szCs w:val="18"/>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Total, net</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(8,622)</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CC"/>
            </w:tcBorders>
          </w:tcPr>
          <w:p>
            <w:pPr>
              <w:spacing w:after="0" w:line="20" w:lineRule="exact"/>
              <w:rPr>
                <w:sz w:val="1"/>
                <w:szCs w:val="1"/>
                <w:color w:val="auto"/>
              </w:rPr>
            </w:pPr>
          </w:p>
        </w:tc>
        <w:tc>
          <w:tcPr>
            <w:tcW w:w="2640" w:type="dxa"/>
            <w:vAlign w:val="bottom"/>
            <w:tcBorders>
              <w:top w:val="single" w:sz="8" w:color="CCEE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1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used March 31, 2013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w:t>
      </w:r>
    </w:p>
    <w:p>
      <w:pPr>
        <w:spacing w:after="0" w:line="18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14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Based on March 31, 2013 balances, if interest rates were to increase by 1% on our variable rate debt (excluding our SSTL) and interest earning cash and float balances, we estimate a net positive impact of approximately $28.6 million resulting from an increase of $53.6 million in annual interest income and an increase of $25.0 million in annual interest expense. The increase in interest expense includes a reduction of approximately $7.6 million due to the anticipated effects of our hedging activities. See the tables below and Note 18 – Derivative Financial Instruments to the unaudited Interim Consolidated Financial Statements for additional information regarding our use of derivatives.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60" w:type="dxa"/>
            <w:vAlign w:val="bottom"/>
            <w:tcBorders>
              <w:bottom w:val="single" w:sz="8" w:color="CCEECC"/>
            </w:tcBorders>
          </w:tcPr>
          <w:p>
            <w:pPr>
              <w:spacing w:after="0"/>
              <w:rPr>
                <w:sz w:val="20"/>
                <w:szCs w:val="20"/>
                <w:color w:val="auto"/>
              </w:rPr>
            </w:pPr>
          </w:p>
        </w:tc>
        <w:tc>
          <w:tcPr>
            <w:tcW w:w="19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Fixed-rate borrowings</w:t>
            </w:r>
          </w:p>
        </w:tc>
        <w:tc>
          <w:tcPr>
            <w:tcW w:w="192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Variable-rate borrowings</w:t>
            </w:r>
          </w:p>
        </w:tc>
        <w:tc>
          <w:tcPr>
            <w:tcW w:w="1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Match funded liabilities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Senior secured term loan (1)</w:t>
            </w:r>
          </w:p>
        </w:tc>
        <w:tc>
          <w:tcPr>
            <w:tcW w:w="1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Master repurchase agreements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Participation agreement</w:t>
            </w:r>
          </w:p>
        </w:tc>
        <w:tc>
          <w:tcPr>
            <w:tcW w:w="1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Promissory note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Securities sold under an agreement to repurchase</w:t>
            </w:r>
          </w:p>
        </w:tc>
        <w:tc>
          <w:tcPr>
            <w:tcW w:w="19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bottom w:val="single" w:sz="8" w:color="CCEECC"/>
            </w:tcBorders>
          </w:tcPr>
          <w:p>
            <w:pPr>
              <w:spacing w:after="0"/>
              <w:rPr>
                <w:sz w:val="18"/>
                <w:szCs w:val="18"/>
                <w:color w:val="auto"/>
              </w:rPr>
            </w:pPr>
          </w:p>
        </w:tc>
        <w:tc>
          <w:tcPr>
            <w:tcW w:w="19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4,581,549</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borrowings outstanding (2)</w:t>
            </w:r>
          </w:p>
        </w:tc>
        <w:tc>
          <w:tcPr>
            <w:tcW w:w="192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4,581,549</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CC"/>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2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4,697,613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Notional balance of interest rate swaps (3)</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966,281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Balance excludes the unamortized discount of $6.3 million.</w:t>
      </w:r>
    </w:p>
    <w:p>
      <w:pPr>
        <w:spacing w:after="0" w:line="184"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borrowings exclude the financing liability recognized in connection with the sale of Rights to MSRs to HLSS. See Note 15 – Other Borrowings to the unaudited Interim Consolidated Financial Statements for additional information.</w:t>
      </w:r>
    </w:p>
    <w:p>
      <w:pPr>
        <w:spacing w:after="0" w:line="143" w:lineRule="exact"/>
        <w:rPr>
          <w:rFonts w:ascii="Arial" w:cs="Arial" w:eastAsia="Arial" w:hAnsi="Arial"/>
          <w:sz w:val="18"/>
          <w:szCs w:val="18"/>
          <w:color w:val="auto"/>
        </w:rPr>
      </w:pPr>
    </w:p>
    <w:p>
      <w:pPr>
        <w:ind w:left="340" w:right="160" w:hanging="332"/>
        <w:spacing w:after="0" w:line="31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Notional balance includes interest rate swaps with a notional amount of $419.1 million that have been designated as hedges of our exposure to rising interest rates on variable-rate match funded advance facilities. Two of these swaps, with notional amounts of $201.9 million, are forward-starting swaps that do not become effective until June 2013. The remaining swaps of $547.2 million are not currently designated to any hedging relationship.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950" w:gutter="0" w:footer="0" w:header="0"/>
        </w:sectPr>
      </w:pPr>
    </w:p>
    <w:bookmarkStart w:id="59" w:name="page60"/>
    <w:bookmarkEnd w:id="59"/>
    <w:p>
      <w:pPr>
        <w:ind w:right="140" w:firstLine="324"/>
        <w:spacing w:after="0" w:line="312" w:lineRule="auto"/>
        <w:rPr>
          <w:sz w:val="20"/>
          <w:szCs w:val="20"/>
          <w:color w:val="auto"/>
        </w:rPr>
      </w:pPr>
      <w:r>
        <w:rPr>
          <w:rFonts w:ascii="Arial" w:cs="Arial" w:eastAsia="Arial" w:hAnsi="Arial"/>
          <w:sz w:val="16"/>
          <w:szCs w:val="16"/>
          <w:color w:val="auto"/>
        </w:rPr>
        <w:t>Our Consolidated Balance Sheet at March 31, 2013 and December 31, 2012 included interest-earning assets totaling $833.1 million and $738.6 million, respectively. Interest-earning assets at March 31, 2013 are comprised of $310.2 million of interest-earning cash accounts, $134.2 million of debt service accounts, $30.6 million of interest-earning collateral deposits and $358.1 million of loans held for sale (fair value and lower of cost or fair value combined).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“Overview - Liquidity Summary” and “Liquidity and Capital Resources” for additional discussions of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18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14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maintain a reserve for losses on loans that may be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1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not subject to the majority of the credit-related risk inherent in maintaining a mortgage loan portfolio because we do not hold loans for investment purposes. We generally sell newly originated loans in the secondary market within 20 days of origination.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20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132"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 if the third party originator is not able to reimburse us for losses incurred for indemnification or repurchase. We mitigate this 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We periodically enter into foreign exchange forward contracts to hedge against the effect of changes in the value of the India Rupee (INR) on amounts payable to our India subsidiary, OFSPL. Our operations in Uruguay expose us to foreign currency exchange rate risk, but we consider this risk to be insignificant.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March 31, 2013. Based on this evaluation, our Chief Executive Officer and Chief Financial Officer concluded that, as of March 31, 2013,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5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March 31, 2013 that has materially affected, or is reasonably likely to materially affect, our internal control over financial reporting.</w:t>
      </w:r>
    </w:p>
    <w:p>
      <w:pPr>
        <w:spacing w:after="0" w:line="13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24 – Commitments and Contingencies to the Interim Consolidated Financial Statements for information regarding legal proceedings.</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19 through 32 of our Annual Report on Form 10-K for the year ended December 31, 2012 which should be read in conjunction with such disclosures.</w:t>
      </w:r>
    </w:p>
    <w:p>
      <w:pPr>
        <w:spacing w:after="0" w:line="1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1500" w:right="200" w:hanging="679"/>
        <w:spacing w:after="0" w:line="258" w:lineRule="auto"/>
        <w:tabs>
          <w:tab w:leader="none" w:pos="1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Purchase and Sale Agreement, dated as of March 29, 2013, by and among Altisource Portfolio Solutions, Inc., Altisource Solutions S.à r.l., Ocwen Financial Corporation, Homeward Residential, Inc. and Power Valuation Services, Inc. (1)</w:t>
      </w:r>
    </w:p>
    <w:p>
      <w:pPr>
        <w:spacing w:after="0" w:line="1"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Amendment to Articles of Incorporation (3)</w:t>
      </w:r>
    </w:p>
    <w:p>
      <w:pPr>
        <w:spacing w:after="0" w:line="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Articles of Correction (3)</w:t>
      </w:r>
    </w:p>
    <w:p>
      <w:pPr>
        <w:spacing w:after="0" w:line="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Articles of Amendment to Articles of Incorporation (4)</w:t>
      </w:r>
    </w:p>
    <w:p>
      <w:pPr>
        <w:spacing w:after="0" w:line="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Bylaws of Ocwen Financial Corporation (5)</w:t>
      </w:r>
    </w:p>
    <w:p>
      <w:pPr>
        <w:spacing w:after="0" w:line="9" w:lineRule="exact"/>
        <w:rPr>
          <w:sz w:val="20"/>
          <w:szCs w:val="20"/>
          <w:color w:val="auto"/>
        </w:rPr>
      </w:pPr>
    </w:p>
    <w:p>
      <w:pPr>
        <w:ind w:left="1500" w:right="60" w:hanging="724"/>
        <w:spacing w:after="0" w:line="250"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Senior Secured Term Loan Facility Agreement</w:t>
      </w:r>
      <w:r>
        <w:rPr>
          <w:rFonts w:ascii="Arial" w:cs="Arial" w:eastAsia="Arial" w:hAnsi="Arial"/>
          <w:sz w:val="18"/>
          <w:szCs w:val="18"/>
          <w:color w:val="auto"/>
          <w:strike w:val="1"/>
        </w:rPr>
        <w:t>,</w:t>
      </w:r>
      <w:r>
        <w:rPr>
          <w:rFonts w:ascii="Arial" w:cs="Arial" w:eastAsia="Arial" w:hAnsi="Arial"/>
          <w:sz w:val="18"/>
          <w:szCs w:val="18"/>
          <w:color w:val="auto"/>
        </w:rPr>
        <w:t xml:space="preserve"> dated as of February 15, 2013, by and among Ocwen Loan Servicing, LLC, as Borrower, Ocwen Financial Corporation, as Parent, Certain Subsidiaries of Ocwen Financial Corporation, as Subsidiary Guarantors, the Lender Parties thereto, and Barclays Bank PLC, as Administrative Agent and Collateral Agent (6)</w:t>
      </w:r>
    </w:p>
    <w:p>
      <w:pPr>
        <w:spacing w:after="0" w:line="1" w:lineRule="exact"/>
        <w:rPr>
          <w:sz w:val="20"/>
          <w:szCs w:val="20"/>
          <w:color w:val="auto"/>
        </w:rPr>
      </w:pPr>
    </w:p>
    <w:p>
      <w:pPr>
        <w:ind w:left="1500" w:right="260" w:hanging="724"/>
        <w:spacing w:after="0" w:line="250" w:lineRule="auto"/>
        <w:tabs>
          <w:tab w:leader="none" w:pos="1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Pledge and Security Agreement dated as of February 15, 2013, between each of the Grantors Party thereto and Barclays Bank PLC, as Collateral Agent (6)</w:t>
      </w:r>
    </w:p>
    <w:p>
      <w:pPr>
        <w:spacing w:after="0" w:line="1" w:lineRule="exact"/>
        <w:rPr>
          <w:sz w:val="20"/>
          <w:szCs w:val="20"/>
          <w:color w:val="auto"/>
        </w:rPr>
      </w:pPr>
    </w:p>
    <w:p>
      <w:pPr>
        <w:ind w:left="1500" w:right="220" w:hanging="724"/>
        <w:spacing w:after="0" w:line="250" w:lineRule="auto"/>
        <w:tabs>
          <w:tab w:leader="none" w:pos="1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to Services Agreement, dated as of March 29, 2013, by and between Ocwen Financial Corporation and Altisource Solutions S.à r.l. (1)</w:t>
      </w:r>
    </w:p>
    <w:p>
      <w:pPr>
        <w:spacing w:after="0" w:line="1" w:lineRule="exact"/>
        <w:rPr>
          <w:sz w:val="20"/>
          <w:szCs w:val="20"/>
          <w:color w:val="auto"/>
        </w:rPr>
      </w:pPr>
    </w:p>
    <w:p>
      <w:pPr>
        <w:ind w:left="1500" w:right="660" w:hanging="724"/>
        <w:spacing w:after="0" w:line="250" w:lineRule="auto"/>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Second Amendment to Technology Products Services Agreement, dated as of March 29, 2013, by and between Ocwen Financial Corporation and Altisource Solutions S.à r.l. (1)</w:t>
      </w:r>
    </w:p>
    <w:p>
      <w:pPr>
        <w:spacing w:after="0" w:line="1" w:lineRule="exact"/>
        <w:rPr>
          <w:sz w:val="20"/>
          <w:szCs w:val="20"/>
          <w:color w:val="auto"/>
        </w:rPr>
      </w:pPr>
    </w:p>
    <w:p>
      <w:pPr>
        <w:ind w:left="1500" w:right="360" w:hanging="724"/>
        <w:spacing w:after="0" w:line="250" w:lineRule="auto"/>
        <w:tabs>
          <w:tab w:leader="none" w:pos="1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Amendment to Data Center and Disaster Recovery Services Agreement, dated as of March 29, 2013, by and between Ocwen Financial Corporation and Altisource Solutions S.à r.l. (1)</w:t>
      </w:r>
    </w:p>
    <w:p>
      <w:pPr>
        <w:spacing w:after="0" w:line="1" w:lineRule="exact"/>
        <w:rPr>
          <w:sz w:val="20"/>
          <w:szCs w:val="20"/>
          <w:color w:val="auto"/>
        </w:rPr>
      </w:pPr>
    </w:p>
    <w:p>
      <w:pPr>
        <w:ind w:left="1500" w:right="140" w:hanging="724"/>
        <w:spacing w:after="0" w:line="250" w:lineRule="auto"/>
        <w:tabs>
          <w:tab w:leader="none" w:pos="1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Second Amendment to Intellectual Property Agreement, dated as of March 29, 2013, by and between Ocwen Financial Corporation and Altisource Solutions S.à r.l. (1)</w:t>
      </w:r>
    </w:p>
    <w:p>
      <w:pPr>
        <w:spacing w:after="0" w:line="1" w:lineRule="exact"/>
        <w:rPr>
          <w:sz w:val="20"/>
          <w:szCs w:val="20"/>
          <w:color w:val="auto"/>
        </w:rPr>
      </w:pPr>
    </w:p>
    <w:p>
      <w:pPr>
        <w:ind w:left="1500" w:right="200" w:hanging="724"/>
        <w:spacing w:after="0" w:line="250" w:lineRule="auto"/>
        <w:tabs>
          <w:tab w:leader="none" w:pos="1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First Amendment to Services Agreement, dated as of March 29, 2013, by and between Ocwen Mortgage Servicing, Inc. and Altisource Solutions S.à r.l. (1)</w:t>
      </w:r>
    </w:p>
    <w:p>
      <w:pPr>
        <w:spacing w:after="0" w:line="1" w:lineRule="exact"/>
        <w:rPr>
          <w:sz w:val="20"/>
          <w:szCs w:val="20"/>
          <w:color w:val="auto"/>
        </w:rPr>
      </w:pPr>
    </w:p>
    <w:p>
      <w:pPr>
        <w:ind w:left="1500" w:right="60" w:hanging="724"/>
        <w:spacing w:after="0" w:line="261" w:lineRule="auto"/>
        <w:tabs>
          <w:tab w:leader="none" w:pos="1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First Amendment to Technology Products Services Agreement, dated as of March 29, 2013, by and between Ocwen Mortgage Servicing, Inc. and Altisource Solutions S.à r.l. (1)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1"/>
              </w:rPr>
              <w:t>10.9</w:t>
            </w:r>
          </w:p>
        </w:tc>
        <w:tc>
          <w:tcPr>
            <w:tcW w:w="10040" w:type="dxa"/>
            <w:vAlign w:val="bottom"/>
          </w:tcPr>
          <w:p>
            <w:pPr>
              <w:ind w:left="120"/>
              <w:spacing w:after="0"/>
              <w:rPr>
                <w:sz w:val="20"/>
                <w:szCs w:val="20"/>
                <w:color w:val="auto"/>
              </w:rPr>
            </w:pPr>
            <w:r>
              <w:rPr>
                <w:rFonts w:ascii="Arial" w:cs="Arial" w:eastAsia="Arial" w:hAnsi="Arial"/>
                <w:sz w:val="18"/>
                <w:szCs w:val="18"/>
                <w:color w:val="auto"/>
                <w:w w:val="95"/>
              </w:rPr>
              <w:t>First Amendment to Data Center and Disaster Recovery Services Agreement, dated as of March 29, 2013, by and between Ocwen</w:t>
            </w:r>
          </w:p>
        </w:tc>
      </w:tr>
      <w:tr>
        <w:trPr>
          <w:trHeight w:val="216"/>
        </w:trPr>
        <w:tc>
          <w:tcPr>
            <w:tcW w:w="138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Mortgage Servicing, Inc. and Altisource Solutions S.à r.l. (1)</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88"/>
              </w:rPr>
              <w:t>10.10</w:t>
            </w:r>
          </w:p>
        </w:tc>
        <w:tc>
          <w:tcPr>
            <w:tcW w:w="10040" w:type="dxa"/>
            <w:vAlign w:val="bottom"/>
          </w:tcPr>
          <w:p>
            <w:pPr>
              <w:ind w:left="120"/>
              <w:spacing w:after="0"/>
              <w:rPr>
                <w:sz w:val="20"/>
                <w:szCs w:val="20"/>
                <w:color w:val="auto"/>
              </w:rPr>
            </w:pPr>
            <w:r>
              <w:rPr>
                <w:rFonts w:ascii="Arial" w:cs="Arial" w:eastAsia="Arial" w:hAnsi="Arial"/>
                <w:sz w:val="18"/>
                <w:szCs w:val="18"/>
                <w:color w:val="auto"/>
                <w:w w:val="92"/>
              </w:rPr>
              <w:t>First Amendment to Intellectual Property Agreement, dated as of March 29, 2013, by and between Ocwen Mortgage Servicing, Inc. and</w:t>
            </w:r>
          </w:p>
        </w:tc>
      </w:tr>
      <w:tr>
        <w:trPr>
          <w:trHeight w:val="216"/>
        </w:trPr>
        <w:tc>
          <w:tcPr>
            <w:tcW w:w="138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Altisource Solutions S.à r.l. (1)</w:t>
            </w:r>
          </w:p>
        </w:tc>
      </w:tr>
      <w:tr>
        <w:trPr>
          <w:trHeight w:val="216"/>
        </w:trPr>
        <w:tc>
          <w:tcPr>
            <w:tcW w:w="1380" w:type="dxa"/>
            <w:vAlign w:val="bottom"/>
          </w:tcPr>
          <w:p>
            <w:pPr>
              <w:jc w:val="center"/>
              <w:ind w:left="390"/>
              <w:spacing w:after="0"/>
              <w:rPr>
                <w:sz w:val="20"/>
                <w:szCs w:val="20"/>
                <w:color w:val="auto"/>
              </w:rPr>
            </w:pPr>
            <w:r>
              <w:rPr>
                <w:rFonts w:ascii="Arial" w:cs="Arial" w:eastAsia="Arial" w:hAnsi="Arial"/>
                <w:sz w:val="18"/>
                <w:szCs w:val="18"/>
                <w:color w:val="auto"/>
                <w:w w:val="85"/>
              </w:rPr>
              <w:t>11.1</w:t>
            </w:r>
          </w:p>
        </w:tc>
        <w:tc>
          <w:tcPr>
            <w:tcW w:w="10040" w:type="dxa"/>
            <w:vAlign w:val="bottom"/>
          </w:tcPr>
          <w:p>
            <w:pPr>
              <w:ind w:left="120"/>
              <w:spacing w:after="0"/>
              <w:rPr>
                <w:sz w:val="20"/>
                <w:szCs w:val="20"/>
                <w:color w:val="auto"/>
              </w:rPr>
            </w:pPr>
            <w:r>
              <w:rPr>
                <w:rFonts w:ascii="Arial" w:cs="Arial" w:eastAsia="Arial" w:hAnsi="Arial"/>
                <w:sz w:val="18"/>
                <w:szCs w:val="18"/>
                <w:color w:val="auto"/>
              </w:rPr>
              <w:t>Computation of earnings per share (7)</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1"/>
              </w:rPr>
              <w:t>31.1</w:t>
            </w:r>
          </w:p>
        </w:tc>
        <w:tc>
          <w:tcPr>
            <w:tcW w:w="10040" w:type="dxa"/>
            <w:vAlign w:val="bottom"/>
          </w:tcPr>
          <w:p>
            <w:pPr>
              <w:ind w:left="1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1"/>
              </w:rPr>
              <w:t>31.2</w:t>
            </w:r>
          </w:p>
        </w:tc>
        <w:tc>
          <w:tcPr>
            <w:tcW w:w="10040" w:type="dxa"/>
            <w:vAlign w:val="bottom"/>
          </w:tcPr>
          <w:p>
            <w:pPr>
              <w:ind w:left="1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1"/>
              </w:rPr>
              <w:t>32.1</w:t>
            </w:r>
          </w:p>
        </w:tc>
        <w:tc>
          <w:tcPr>
            <w:tcW w:w="10040" w:type="dxa"/>
            <w:vAlign w:val="bottom"/>
          </w:tcPr>
          <w:p>
            <w:pPr>
              <w:ind w:left="1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 Sarbanes-</w:t>
            </w:r>
          </w:p>
        </w:tc>
      </w:tr>
      <w:tr>
        <w:trPr>
          <w:trHeight w:val="216"/>
        </w:trPr>
        <w:tc>
          <w:tcPr>
            <w:tcW w:w="138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1"/>
              </w:rPr>
              <w:t>32.2</w:t>
            </w:r>
          </w:p>
        </w:tc>
        <w:tc>
          <w:tcPr>
            <w:tcW w:w="10040" w:type="dxa"/>
            <w:vAlign w:val="bottom"/>
          </w:tcPr>
          <w:p>
            <w:pPr>
              <w:ind w:left="12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 Sarbanes-</w:t>
            </w:r>
          </w:p>
        </w:tc>
      </w:tr>
      <w:tr>
        <w:trPr>
          <w:trHeight w:val="216"/>
        </w:trPr>
        <w:tc>
          <w:tcPr>
            <w:tcW w:w="138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2"/>
              </w:rPr>
              <w:t>101.INS</w:t>
            </w:r>
          </w:p>
        </w:tc>
        <w:tc>
          <w:tcPr>
            <w:tcW w:w="10040" w:type="dxa"/>
            <w:vAlign w:val="bottom"/>
          </w:tcPr>
          <w:p>
            <w:pPr>
              <w:ind w:left="12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1380" w:type="dxa"/>
            <w:vAlign w:val="bottom"/>
          </w:tcPr>
          <w:p>
            <w:pPr>
              <w:jc w:val="center"/>
              <w:ind w:left="390"/>
              <w:spacing w:after="0"/>
              <w:rPr>
                <w:sz w:val="20"/>
                <w:szCs w:val="20"/>
                <w:color w:val="auto"/>
              </w:rPr>
            </w:pPr>
            <w:r>
              <w:rPr>
                <w:rFonts w:ascii="Arial" w:cs="Arial" w:eastAsia="Arial" w:hAnsi="Arial"/>
                <w:sz w:val="18"/>
                <w:szCs w:val="18"/>
                <w:color w:val="auto"/>
                <w:w w:val="90"/>
              </w:rPr>
              <w:t>101.SCH</w:t>
            </w:r>
          </w:p>
        </w:tc>
        <w:tc>
          <w:tcPr>
            <w:tcW w:w="100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7"/>
              </w:rPr>
              <w:t>101.CAL</w:t>
            </w:r>
          </w:p>
        </w:tc>
        <w:tc>
          <w:tcPr>
            <w:tcW w:w="100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1380" w:type="dxa"/>
            <w:vAlign w:val="bottom"/>
          </w:tcPr>
          <w:p>
            <w:pPr>
              <w:jc w:val="center"/>
              <w:ind w:left="39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1380" w:type="dxa"/>
            <w:vAlign w:val="bottom"/>
          </w:tcPr>
          <w:p>
            <w:pPr>
              <w:jc w:val="center"/>
              <w:ind w:left="370"/>
              <w:spacing w:after="0"/>
              <w:rPr>
                <w:sz w:val="20"/>
                <w:szCs w:val="20"/>
                <w:color w:val="auto"/>
              </w:rPr>
            </w:pPr>
            <w:r>
              <w:rPr>
                <w:rFonts w:ascii="Arial" w:cs="Arial" w:eastAsia="Arial" w:hAnsi="Arial"/>
                <w:sz w:val="18"/>
                <w:szCs w:val="18"/>
                <w:color w:val="auto"/>
                <w:w w:val="98"/>
              </w:rPr>
              <w:t>101.LAB</w:t>
            </w:r>
          </w:p>
        </w:tc>
        <w:tc>
          <w:tcPr>
            <w:tcW w:w="100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1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8"/>
              </w:rPr>
              <w:t>101.PRE</w:t>
            </w:r>
          </w:p>
        </w:tc>
        <w:tc>
          <w:tcPr>
            <w:tcW w:w="10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16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4, 2013.</w:t>
      </w:r>
    </w:p>
    <w:p>
      <w:pPr>
        <w:spacing w:after="0" w:line="209"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29"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Exhibit 99.1 of the Registrant’s Form 8-K filed with the SEC on January 6, 2011.</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August 1, 2011.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Note 20 – Basic and Diluted Earnings Per Share to the unaudited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-1572260</wp:posOffset>
            </wp:positionV>
            <wp:extent cx="28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68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2013</w:t>
      </w:r>
      <w:r>
        <w:rPr>
          <w:sz w:val="20"/>
          <w:szCs w:val="20"/>
          <w:color w:val="auto"/>
        </w:rPr>
        <w:tab/>
      </w:r>
      <w:r>
        <w:rPr>
          <w:rFonts w:ascii="Arial" w:cs="Arial" w:eastAsia="Arial" w:hAnsi="Arial"/>
          <w:sz w:val="16"/>
          <w:szCs w:val="16"/>
          <w:color w:val="auto"/>
        </w:rPr>
        <w:t>By: /s/ John V. Britti</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-130175</wp:posOffset>
            </wp:positionV>
            <wp:extent cx="3112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(On behalf of the Registrant and as its principal financial officer)</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198"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tabs>
          <w:tab w:leader="none" w:pos="640" w:val="left"/>
          <w:tab w:leader="none" w:pos="4100" w:val="left"/>
        </w:tabs>
        <w:rPr>
          <w:sz w:val="20"/>
          <w:szCs w:val="20"/>
          <w:color w:val="auto"/>
        </w:rPr>
      </w:pPr>
      <w:r>
        <w:rPr>
          <w:rFonts w:ascii="Arial" w:cs="Arial" w:eastAsia="Arial" w:hAnsi="Arial"/>
          <w:sz w:val="18"/>
          <w:szCs w:val="18"/>
          <w:color w:val="auto"/>
        </w:rPr>
        <w:t>Date:</w:t>
        <w:tab/>
        <w:t>May 7, 2013</w:t>
      </w:r>
      <w:r>
        <w:rPr>
          <w:sz w:val="20"/>
          <w:szCs w:val="20"/>
          <w:color w:val="auto"/>
        </w:rPr>
        <w:tab/>
      </w:r>
      <w:r>
        <w:rPr>
          <w:rFonts w:ascii="Arial" w:cs="Arial" w:eastAsia="Arial" w:hAnsi="Arial"/>
          <w:sz w:val="16"/>
          <w:szCs w:val="16"/>
          <w:color w:val="auto"/>
        </w:rPr>
        <w:t>/s/ Ronald M. Faris</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-130175</wp:posOffset>
            </wp:positionV>
            <wp:extent cx="46310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198"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640" w:val="left"/>
          <w:tab w:leader="none" w:pos="4100" w:val="left"/>
        </w:tabs>
        <w:rPr>
          <w:sz w:val="20"/>
          <w:szCs w:val="20"/>
          <w:color w:val="auto"/>
        </w:rPr>
      </w:pPr>
      <w:r>
        <w:rPr>
          <w:rFonts w:ascii="Arial" w:cs="Arial" w:eastAsia="Arial" w:hAnsi="Arial"/>
          <w:sz w:val="18"/>
          <w:szCs w:val="18"/>
          <w:color w:val="auto"/>
        </w:rPr>
        <w:t>Date:</w:t>
        <w:tab/>
        <w:t>May 7, 2013</w:t>
      </w:r>
      <w:r>
        <w:rPr>
          <w:sz w:val="20"/>
          <w:szCs w:val="20"/>
          <w:color w:val="auto"/>
        </w:rPr>
        <w:tab/>
      </w:r>
      <w:r>
        <w:rPr>
          <w:rFonts w:ascii="Arial" w:cs="Arial" w:eastAsia="Arial" w:hAnsi="Arial"/>
          <w:sz w:val="16"/>
          <w:szCs w:val="16"/>
          <w:color w:val="auto"/>
        </w:rPr>
        <w:t>/s/ John V. Britti</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-130175</wp:posOffset>
            </wp:positionV>
            <wp:extent cx="46310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198"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038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0380" w:type="dxa"/>
            <w:vAlign w:val="bottom"/>
          </w:tcPr>
          <w:p>
            <w:pPr>
              <w:spacing w:after="0"/>
              <w:rPr>
                <w:sz w:val="20"/>
                <w:szCs w:val="20"/>
                <w:color w:val="auto"/>
              </w:rPr>
            </w:pPr>
            <w:r>
              <w:rPr>
                <w:rFonts w:ascii="Arial" w:cs="Arial" w:eastAsia="Arial" w:hAnsi="Arial"/>
                <w:sz w:val="18"/>
                <w:szCs w:val="18"/>
                <w:color w:val="auto"/>
              </w:rPr>
              <w:t>May 7, 2013</w:t>
            </w:r>
          </w:p>
        </w:tc>
      </w:tr>
      <w:tr>
        <w:trPr>
          <w:trHeight w:val="453"/>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19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038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0380" w:type="dxa"/>
            <w:vAlign w:val="bottom"/>
          </w:tcPr>
          <w:p>
            <w:pPr>
              <w:spacing w:after="0"/>
              <w:rPr>
                <w:sz w:val="20"/>
                <w:szCs w:val="20"/>
                <w:color w:val="auto"/>
              </w:rPr>
            </w:pPr>
            <w:r>
              <w:rPr>
                <w:rFonts w:ascii="Arial" w:cs="Arial" w:eastAsia="Arial" w:hAnsi="Arial"/>
                <w:sz w:val="18"/>
                <w:szCs w:val="18"/>
                <w:color w:val="auto"/>
              </w:rPr>
              <w:t>May 7, 2013</w:t>
            </w:r>
          </w:p>
        </w:tc>
      </w:tr>
      <w:tr>
        <w:trPr>
          <w:trHeight w:val="453"/>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lvl w:ilvl="1">
      <w:lvlJc w:val="left"/>
      <w:lvlText w:val="(%2)"/>
      <w:numFmt w:val="decimal"/>
      <w:start w:val="2"/>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o"/>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3"/>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
      <w:numFmt w:val="bullet"/>
      <w:start w:val="1"/>
    </w:lvl>
  </w:abstractNum>
  <w:abstractNum w:abstractNumId="51">
    <w:nsid w:val="75C6C33A"/>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2019-12-06T04:52:39Z</dcterms:created>
  <dcterms:modified xsi:type="dcterms:W3CDTF">2019-12-06T04:52:39Z</dcterms:modified>
</cp:coreProperties>
</file>