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2"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5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quarterly period ended September 30, 2015</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5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1-13219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6260" w:type="dxa"/>
            <w:vAlign w:val="bottom"/>
            <w:gridSpan w:val="4"/>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4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8"/>
        </w:trPr>
        <w:tc>
          <w:tcPr>
            <w:tcW w:w="51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West Palm Beach, Florida</w:t>
            </w:r>
          </w:p>
        </w:tc>
        <w:tc>
          <w:tcPr>
            <w:tcW w:w="6260" w:type="dxa"/>
            <w:vAlign w:val="bottom"/>
            <w:gridSpan w:val="4"/>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33409</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(561) 682-8000</w:t>
            </w:r>
          </w:p>
        </w:tc>
        <w:tc>
          <w:tcPr>
            <w:tcW w:w="5140" w:type="dxa"/>
            <w:vAlign w:val="bottom"/>
          </w:tcPr>
          <w:p>
            <w:pPr>
              <w:spacing w:after="0"/>
              <w:rPr>
                <w:sz w:val="22"/>
                <w:szCs w:val="22"/>
                <w:color w:val="auto"/>
              </w:rPr>
            </w:pPr>
          </w:p>
        </w:tc>
      </w:tr>
    </w:tbl>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33"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6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21" w:right="239" w:bottom="1440" w:gutter="0" w:footer="0" w:header="0"/>
        </w:sectPr>
      </w:pPr>
    </w:p>
    <w:p>
      <w:pPr>
        <w:spacing w:after="0" w:line="10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63" w:lineRule="exact"/>
        <w:rPr>
          <w:sz w:val="24"/>
          <w:szCs w:val="24"/>
          <w:color w:val="auto"/>
        </w:rPr>
      </w:pPr>
    </w:p>
    <w:p>
      <w:pPr>
        <w:sectPr>
          <w:pgSz w:w="11900" w:h="16838" w:orient="portrait"/>
          <w:cols w:equalWidth="0" w:num="4">
            <w:col w:w="2400" w:space="720"/>
            <w:col w:w="4440" w:space="720"/>
            <w:col w:w="2000" w:space="720"/>
            <w:col w:w="420"/>
          </w:cols>
          <w:pgMar w:left="240" w:top="921" w:right="23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w:t>
      </w:r>
    </w:p>
    <w:p>
      <w:pPr>
        <w:spacing w:after="0" w:line="90" w:lineRule="exact"/>
        <w:rPr>
          <w:sz w:val="24"/>
          <w:szCs w:val="24"/>
          <w:color w:val="auto"/>
        </w:rPr>
      </w:pPr>
    </w:p>
    <w:p>
      <w:pPr>
        <w:sectPr>
          <w:pgSz w:w="11900" w:h="16838" w:orient="portrait"/>
          <w:cols w:equalWidth="0" w:num="5">
            <w:col w:w="2400" w:space="720"/>
            <w:col w:w="100" w:space="360"/>
            <w:col w:w="3980" w:space="720"/>
            <w:col w:w="2000" w:space="720"/>
            <w:col w:w="420"/>
          </w:cols>
          <w:pgMar w:left="240" w:top="921" w:right="239" w:bottom="1440" w:gutter="0" w:footer="0" w:header="0"/>
          <w:type w:val="continuous"/>
        </w:sectPr>
      </w:pPr>
    </w:p>
    <w:p>
      <w:pPr>
        <w:ind w:right="3200"/>
        <w:spacing w:after="0" w:line="407" w:lineRule="auto"/>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o No x Number of shares of common stock outstanding as of October 26, 2015: 125,390,482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 xml:space="preserve">PART I </w:t>
            </w:r>
            <w:r>
              <w:rPr>
                <w:rFonts w:ascii="Times New Roman" w:cs="Times New Roman" w:eastAsia="Times New Roman" w:hAnsi="Times New Roman"/>
                <w:sz w:val="18"/>
                <w:szCs w:val="18"/>
                <w:b w:val="1"/>
                <w:bCs w:val="1"/>
                <w:color w:val="000000"/>
              </w:rPr>
              <w:t>- FINANCIAL INFORMATION</w:t>
            </w: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Item 1.</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Balance Sheets at September 30, 2015 and December 31, 2014</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Operations for the Three and Nine Months Ended September 30, 2015 and 2014</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Nine Months Ended September 30, 2015 and 2014</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Nine Months Ended September 30, 2015 and 2014</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Cash Flows for the Nine Months Ended September 30, 2015 and 2014</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8</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Unaudited Consolidated Financial Statements</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Item 2.</w:t>
              </w:r>
            </w:hyperlink>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Item 3.</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Item 4.</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75</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 xml:space="preserve">PART II </w:t>
            </w:r>
            <w:r>
              <w:rPr>
                <w:rFonts w:ascii="Times New Roman" w:cs="Times New Roman" w:eastAsia="Times New Roman" w:hAnsi="Times New Roman"/>
                <w:sz w:val="18"/>
                <w:szCs w:val="18"/>
                <w:b w:val="1"/>
                <w:bCs w:val="1"/>
                <w:color w:val="000000"/>
              </w:rPr>
              <w:t>-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Item 1.</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75</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Item 1A.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6.</w:t>
              </w:r>
            </w:hyperlink>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800" w:type="dxa"/>
            <w:vAlign w:val="bottom"/>
          </w:tcPr>
          <w:p>
            <w:pPr>
              <w:jc w:val="right"/>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76</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77</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6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Forward-looking statements involve a number of assumptions, risks and uncertainties that could cause actual results to differ materially from those suggested by such statements. Our business has been undergoing substantial change, which has magnified such uncertainties. Readers should bear these factors in mind when considering such statements and should not place undue reliance on such statements. In the past, actual results have differed from those suggested by forward-looking statements and this may happen again. Important factors that could cause actual results to differ include, but are not limited to, the risks discussed in “Risk Factors” in our Annual Report on Form 10-K for the year ended December 31, 2014 and the following:</w:t>
      </w:r>
    </w:p>
    <w:p>
      <w:pPr>
        <w:spacing w:after="0" w:line="7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business as a result of regulatory settlements;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reactions to the announcement of such settlements by key counterparties;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and media attention, due to rumors or otherwise;</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claims, litigation and investigations brought by government agencies and private parties regarding our servicing, foreclosure, modification and other practices;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in existing legal proceedings or the initiation of new legal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regulatory and contractual compliance obligations;</w:t>
      </w:r>
    </w:p>
    <w:p>
      <w:pPr>
        <w:spacing w:after="0" w:line="9"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financial resources, including our sources of liquidity and ability to sell, fund and recover advances, repay borrowings and comply with our debt agreements;</w:t>
      </w:r>
    </w:p>
    <w:p>
      <w:pPr>
        <w:ind w:left="660" w:right="4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servicer and credit ratings as well as other actions from various rating agencies, including the impact of recent or future downgrades of our servicer and credit ratings;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stock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of our servicing portfolio, including prepayment speeds along with delinquency and advance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contain and reduce our operating costs, including our ability to successfully execute on our cost improvement initiative;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modify delinquent loans, manage foreclosures and sell foreclosed properties;</w:t>
      </w:r>
    </w:p>
    <w:p>
      <w:pPr>
        <w:spacing w:after="0" w:line="9" w:lineRule="exact"/>
        <w:rPr>
          <w:rFonts w:ascii="Times New Roman" w:cs="Times New Roman" w:eastAsia="Times New Roman" w:hAnsi="Times New Roman"/>
          <w:sz w:val="18"/>
          <w:szCs w:val="18"/>
          <w:color w:val="auto"/>
        </w:rPr>
      </w:pPr>
    </w:p>
    <w:p>
      <w:pPr>
        <w:ind w:left="660" w:right="4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legislation, regulations, regulatory agency actions, regulatory examinations, government programs and policies, industry initiatives and evolving best servicing practices;</w:t>
      </w:r>
    </w:p>
    <w:p>
      <w:pPr>
        <w:ind w:left="660" w:right="2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New Residential Investment Corp. (NRZ) for a substantial portion of our advance funding for non-Agency mortgage servicing rights;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our long-term relationship with NRZ;</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the services of our senior managers;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general economic and market conditions, delinquency rates, home prices and disposition timelines on foreclosed properties;</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actions of loan owners and guarantors, including mortgage-backed securities investors, trustees and government sponsored entities (GSEs), regarding loan put-backs, penalties and legal actions;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servicing agreements, including our ability to comply with our seller/servicer agreements with GSEs and maintain our status as an approved seller/servicer;</w:t>
      </w:r>
    </w:p>
    <w:p>
      <w:pPr>
        <w:ind w:left="660" w:right="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GSEs substantially curtailing or ceasing to purchase our conforming loan originations or the Federal Housing Authority of the Department of Housing and Urban Development or Department of Veterans Affairs ceasing to provide insurance;</w:t>
      </w:r>
    </w:p>
    <w:p>
      <w:pPr>
        <w:ind w:left="660" w:right="1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valuations, provisions and anticipated realization on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strategy to reduce the size of our Agency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third-party obligors and financing sources to fund servicing advances on a timely basis on loans serviced by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exposure to interest rate changes and foreign exchange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ability to adapt and grow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systems, procedures and personnel of acquired assets and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technology systems and our ability to adapt such systems for future operating environments;</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684" w:right="279" w:bottom="1440" w:gutter="0" w:footer="0" w:header="0"/>
        </w:sectPr>
      </w:pPr>
    </w:p>
    <w:bookmarkStart w:id="3" w:name="page4"/>
    <w:bookmarkEnd w:id="3"/>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tax positions;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benefits of our deferred tax assets;</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internal security measures or breach of our privacy protections;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political or economic stability of foreign countries in which we have operations.</w:t>
      </w:r>
    </w:p>
    <w:p>
      <w:pPr>
        <w:spacing w:after="0" w:line="9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 information on the risks specific to our business is detailed within this report and our other reports and filings with the Securities and Exchange Commission (SEC) including our Annual Report on Form 10-K for the year ended December 31, 2014, our Quarterly Reports on Form 10-Q and our Current Reports on Form 8-K. Forward-looking statements speak only as of the date they were made and except for our ongoing obligations under the U.S. federal securities laws, we disclaim any obligation to update or revise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40" w:top="580"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UNAUDITED CONSOLIDATED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458,674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129,473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Mortgage servicing rights ($787,344 and $93,901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1,153,295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1,913,992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Advances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517,378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893,914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Match funded advances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1,955,618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2,409,442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sale ($235,909 and $401,120 carried at fair value)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526,972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488,612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Loans held for investment - reverse mortgages,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2,319,515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1,550,141</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270,596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63,866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76,987</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43,310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 assets ($18,551 and $7,335 carried at fair value)</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609,279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490,811</w:t>
            </w:r>
          </w:p>
        </w:tc>
      </w:tr>
      <w:tr>
        <w:trPr>
          <w:trHeight w:val="297"/>
        </w:trPr>
        <w:tc>
          <w:tcPr>
            <w:tcW w:w="8340" w:type="dxa"/>
            <w:vAlign w:val="bottom"/>
            <w:tcBorders>
              <w:bottom w:val="single" w:sz="8" w:color="EAF9E8"/>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8,011,054</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8,267,278</w:t>
            </w:r>
          </w:p>
        </w:tc>
      </w:tr>
      <w:tr>
        <w:trPr>
          <w:trHeight w:val="122"/>
        </w:trPr>
        <w:tc>
          <w:tcPr>
            <w:tcW w:w="834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13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80" w:type="dxa"/>
            <w:vAlign w:val="bottom"/>
            <w:shd w:val="clear" w:color="auto" w:fill="EAF9E8"/>
          </w:tcPr>
          <w:p>
            <w:pPr>
              <w:spacing w:after="0"/>
              <w:rPr>
                <w:sz w:val="10"/>
                <w:szCs w:val="10"/>
                <w:color w:val="auto"/>
              </w:rPr>
            </w:pPr>
          </w:p>
        </w:tc>
        <w:tc>
          <w:tcPr>
            <w:tcW w:w="1300" w:type="dxa"/>
            <w:vAlign w:val="bottom"/>
            <w:shd w:val="clear" w:color="auto" w:fill="EAF9E8"/>
          </w:tcPr>
          <w:p>
            <w:pPr>
              <w:spacing w:after="0"/>
              <w:rPr>
                <w:sz w:val="10"/>
                <w:szCs w:val="1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Match funded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1,589,846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2,090,247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Financing liabilities ($2,789,663 and $2,058,693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2,953,518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2,258,641</w:t>
            </w:r>
          </w:p>
        </w:tc>
      </w:tr>
      <w:tr>
        <w:trPr>
          <w:trHeight w:val="243"/>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secured borrowings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1,733,691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Senior unsecured notes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r>
      <w:tr>
        <w:trPr>
          <w:trHeight w:val="243"/>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793,534</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6,930,599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7,226,113</w:t>
            </w:r>
          </w:p>
        </w:tc>
      </w:tr>
      <w:tr>
        <w:trPr>
          <w:trHeight w:val="129"/>
        </w:trPr>
        <w:tc>
          <w:tcPr>
            <w:tcW w:w="83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19 and 20)</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135"/>
        </w:trPr>
        <w:tc>
          <w:tcPr>
            <w:tcW w:w="8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50"/>
        </w:trPr>
        <w:tc>
          <w:tcPr>
            <w:tcW w:w="834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Ocwen Financial Corporation (Ocwen) 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8340" w:type="dxa"/>
            <w:vAlign w:val="bottom"/>
            <w:shd w:val="clear" w:color="auto" w:fill="EAF9E8"/>
          </w:tcPr>
          <w:p>
            <w:pPr>
              <w:ind w:left="720"/>
              <w:spacing w:after="0"/>
              <w:rPr>
                <w:sz w:val="20"/>
                <w:szCs w:val="20"/>
                <w:color w:val="auto"/>
              </w:rPr>
            </w:pPr>
            <w:r>
              <w:rPr>
                <w:rFonts w:ascii="Times New Roman" w:cs="Times New Roman" w:eastAsia="Times New Roman" w:hAnsi="Times New Roman"/>
                <w:sz w:val="18"/>
                <w:szCs w:val="18"/>
                <w:color w:val="auto"/>
              </w:rPr>
              <w:t>Common stock, $.01 par value; 200,000,000 shares authorized; 125,390,482 and 125,215,615 shares</w:t>
            </w:r>
          </w:p>
        </w:tc>
        <w:tc>
          <w:tcPr>
            <w:tcW w:w="16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41"/>
        </w:trPr>
        <w:tc>
          <w:tcPr>
            <w:tcW w:w="8340" w:type="dxa"/>
            <w:vAlign w:val="bottom"/>
            <w:tcBorders>
              <w:bottom w:val="single" w:sz="8" w:color="EAF9E8"/>
            </w:tcBorders>
            <w:shd w:val="clear" w:color="auto" w:fill="EAF9E8"/>
          </w:tcPr>
          <w:p>
            <w:pPr>
              <w:ind w:left="880"/>
              <w:spacing w:after="0"/>
              <w:rPr>
                <w:sz w:val="20"/>
                <w:szCs w:val="20"/>
                <w:color w:val="auto"/>
              </w:rPr>
            </w:pPr>
            <w:r>
              <w:rPr>
                <w:rFonts w:ascii="Times New Roman" w:cs="Times New Roman" w:eastAsia="Times New Roman" w:hAnsi="Times New Roman"/>
                <w:sz w:val="18"/>
                <w:szCs w:val="18"/>
                <w:color w:val="auto"/>
              </w:rPr>
              <w:t>issued and outstanding at September 30, 2015 and December 31, 2014, respectively</w:t>
            </w:r>
          </w:p>
        </w:tc>
        <w:tc>
          <w:tcPr>
            <w:tcW w:w="16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1,252</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515,194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7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550,373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530,361</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920"/>
              <w:spacing w:after="0"/>
              <w:rPr>
                <w:sz w:val="20"/>
                <w:szCs w:val="20"/>
                <w:color w:val="auto"/>
              </w:rPr>
            </w:pPr>
            <w:r>
              <w:rPr>
                <w:rFonts w:ascii="Times New Roman" w:cs="Times New Roman" w:eastAsia="Times New Roman" w:hAnsi="Times New Roman"/>
                <w:sz w:val="18"/>
                <w:szCs w:val="18"/>
                <w:color w:val="auto"/>
              </w:rPr>
              <w:t>Total Ocwen stockholders’ equity</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1,077,363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1,038,394</w:t>
            </w:r>
          </w:p>
        </w:tc>
      </w:tr>
      <w:tr>
        <w:trPr>
          <w:trHeight w:val="243"/>
        </w:trPr>
        <w:tc>
          <w:tcPr>
            <w:tcW w:w="8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2,771</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1,080,455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1,041,165</w:t>
            </w:r>
          </w:p>
        </w:tc>
      </w:tr>
      <w:tr>
        <w:trPr>
          <w:trHeight w:val="257"/>
        </w:trPr>
        <w:tc>
          <w:tcPr>
            <w:tcW w:w="8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8,011,054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8,267,278</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30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w:t>
            </w:r>
          </w:p>
        </w:tc>
      </w:tr>
      <w:tr>
        <w:trPr>
          <w:trHeight w:val="238"/>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11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360,017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465,964</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1,203,541</w:t>
            </w: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1,448,096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27,298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27,218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116,934</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110,041</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59,896</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404,946</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513,698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1,378,641</w:t>
            </w:r>
          </w:p>
        </w:tc>
        <w:tc>
          <w:tcPr>
            <w:tcW w:w="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1,618,033</w:t>
            </w:r>
          </w:p>
        </w:tc>
      </w:tr>
      <w:tr>
        <w:trPr>
          <w:trHeight w:val="210"/>
        </w:trPr>
        <w:tc>
          <w:tcPr>
            <w:tcW w:w="5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102,612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313,599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316,118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18,108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60,783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88,188</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186,075</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101,545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129,473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37,182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44,261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117,793</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121,234</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212,745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Occupancy and equipment</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31,043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24,697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85,530</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82,504</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101,547</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387,726</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455,039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1,118,336</w:t>
            </w:r>
          </w:p>
        </w:tc>
        <w:tc>
          <w:tcPr>
            <w:tcW w:w="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1,149,696</w:t>
            </w:r>
          </w:p>
        </w:tc>
      </w:tr>
      <w:tr>
        <w:trPr>
          <w:trHeight w:val="210"/>
        </w:trPr>
        <w:tc>
          <w:tcPr>
            <w:tcW w:w="5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17,472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(118,313)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(133,049)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(362,606)</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(409,129)</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sale of mortgage servicing rights</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2,609</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(73,138)</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(130,925)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(260,894)</w:t>
            </w:r>
          </w:p>
        </w:tc>
        <w:tc>
          <w:tcPr>
            <w:tcW w:w="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(391,723)</w:t>
            </w:r>
          </w:p>
        </w:tc>
      </w:tr>
      <w:tr>
        <w:trPr>
          <w:trHeight w:val="210"/>
        </w:trPr>
        <w:tc>
          <w:tcPr>
            <w:tcW w:w="5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(72,266)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76,614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24,374</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(66,750)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(75,258)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52,240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b w:val="1"/>
                <w:bCs w:val="1"/>
                <w:color w:val="auto"/>
              </w:rPr>
              <w:t>Net income (loss) attributable to Ocwen stockholders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(66,869)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(75,381)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52,075</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516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Deemed dividends related to beneficial conversion feature of</w:t>
            </w:r>
          </w:p>
        </w:tc>
        <w:tc>
          <w:tcPr>
            <w:tcW w:w="2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61"/>
        </w:trPr>
        <w:tc>
          <w:tcPr>
            <w:tcW w:w="5160" w:type="dxa"/>
            <w:vAlign w:val="bottom"/>
            <w:tcBorders>
              <w:bottom w:val="single" w:sz="8" w:color="EAF9E8"/>
            </w:tcBorders>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97"/>
        </w:trPr>
        <w:tc>
          <w:tcPr>
            <w:tcW w:w="516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Net income (loss) attributable to Ocwen common stockholders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(66,869)</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(76,189)</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49,273</w:t>
            </w:r>
          </w:p>
        </w:tc>
      </w:tr>
      <w:tr>
        <w:trPr>
          <w:trHeight w:val="203"/>
        </w:trPr>
        <w:tc>
          <w:tcPr>
            <w:tcW w:w="516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12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221"/>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(loss) per share attributable to Ocwen common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8"/>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tcBorders>
              <w:bottom w:val="single" w:sz="8" w:color="EAF9E8"/>
            </w:tcBorders>
            <w:gridSpan w:val="3"/>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22"/>
        </w:trPr>
        <w:tc>
          <w:tcPr>
            <w:tcW w:w="516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12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40" w:type="dxa"/>
            <w:vAlign w:val="bottom"/>
            <w:shd w:val="clear" w:color="auto" w:fill="EAF9E8"/>
          </w:tcPr>
          <w:p>
            <w:pPr>
              <w:spacing w:after="0"/>
              <w:rPr>
                <w:sz w:val="10"/>
                <w:szCs w:val="10"/>
                <w:color w:val="auto"/>
              </w:rPr>
            </w:pPr>
          </w:p>
        </w:tc>
        <w:tc>
          <w:tcPr>
            <w:tcW w:w="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300" w:type="dxa"/>
            <w:vAlign w:val="bottom"/>
            <w:shd w:val="clear" w:color="auto" w:fill="EAF9E8"/>
          </w:tcPr>
          <w:p>
            <w:pPr>
              <w:spacing w:after="0"/>
              <w:rPr>
                <w:sz w:val="10"/>
                <w:szCs w:val="10"/>
                <w:color w:val="auto"/>
              </w:rPr>
            </w:pPr>
          </w:p>
        </w:tc>
        <w:tc>
          <w:tcPr>
            <w:tcW w:w="1180" w:type="dxa"/>
            <w:vAlign w:val="bottom"/>
            <w:shd w:val="clear" w:color="auto" w:fill="EAF9E8"/>
          </w:tcPr>
          <w:p>
            <w:pPr>
              <w:spacing w:after="0"/>
              <w:rPr>
                <w:sz w:val="10"/>
                <w:szCs w:val="10"/>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125,383,639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130,551,197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125,322,742</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133,318,381</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125,383,639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130,551,197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125,322,742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136,881,326</w:t>
            </w: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420"/>
          </w:cols>
          <w:pgMar w:left="240" w:top="333" w:right="2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3" w:right="239" w:bottom="1440" w:gutter="0" w:footer="0" w:header="0"/>
          <w:type w:val="continuous"/>
        </w:sectPr>
      </w:pPr>
    </w:p>
    <w:bookmarkStart w:id="6" w:name="page7"/>
    <w:bookmarkEnd w:id="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OCWEN FINANCIAL CORPORATION AND SUBSIDIARIES UNAUDITED CONSOLIDATED STATEMENTS OF COMPREHENSIVE INCOME (Dollars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w:t>
            </w:r>
          </w:p>
        </w:tc>
      </w:tr>
      <w:tr>
        <w:trPr>
          <w:trHeight w:val="238"/>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(66,750)</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(75,258)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480" w:type="dxa"/>
            <w:vAlign w:val="bottom"/>
            <w:tcBorders>
              <w:bottom w:val="single" w:sz="8" w:color="EAF9E8"/>
            </w:tcBorders>
            <w:gridSpan w:val="3"/>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52,240</w:t>
            </w:r>
          </w:p>
        </w:tc>
      </w:tr>
      <w:tr>
        <w:trPr>
          <w:trHeight w:val="297"/>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25"/>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for losses on cash flow hedges included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net income (1)</w:t>
            </w:r>
          </w:p>
        </w:tc>
        <w:tc>
          <w:tcPr>
            <w:tcW w:w="2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comprehensive income, net of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1,367</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51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53,607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Ocwen stockholders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(66,375)</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(74,995)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53,442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4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expense of $0.4 million and $0.2 million for the nine months ended September 30, 2015 and 2014, respectively. These losses are reclassified to Other,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3" w:right="239" w:bottom="1440" w:gutter="0" w:footer="0" w:header="0"/>
        </w:sectPr>
      </w:pPr>
    </w:p>
    <w:bookmarkStart w:id="7" w:name="page8"/>
    <w:bookmarkEnd w:id="7"/>
    <w:p>
      <w:pPr>
        <w:jc w:val="center"/>
        <w:ind w:left="260" w:right="2660"/>
        <w:spacing w:after="0" w:line="262" w:lineRule="auto"/>
        <w:rPr>
          <w:sz w:val="20"/>
          <w:szCs w:val="20"/>
          <w:color w:val="auto"/>
        </w:rPr>
      </w:pPr>
      <w:r>
        <w:rPr>
          <w:rFonts w:ascii="Times New Roman" w:cs="Times New Roman" w:eastAsia="Times New Roman" w:hAnsi="Times New Roman"/>
          <w:sz w:val="18"/>
          <w:szCs w:val="18"/>
          <w:b w:val="1"/>
          <w:bCs w:val="1"/>
          <w:color w:val="auto"/>
        </w:rPr>
        <w:t>OCWEN FINANCIAL CORPORATION AND SUBSIDIARIES UNAUDITED CONSOLIDATED STATEMENTS OF CHANGES IN EQUITY FOR THE NINE MONTHS ENDED SEPTEMBER 30, 2015 AND 2014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Ocwen Stockholders</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19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10"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220" w:type="dxa"/>
            <w:vAlign w:val="bottom"/>
          </w:tcPr>
          <w:p>
            <w:pPr>
              <w:spacing w:after="0"/>
              <w:rPr>
                <w:sz w:val="4"/>
                <w:szCs w:val="4"/>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vMerge w:val="restart"/>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10"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40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of Taxes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00" w:type="dxa"/>
            <w:vAlign w:val="bottom"/>
            <w:tcBorders>
              <w:top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2014</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125,215,615</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EAF9E8"/>
          </w:tcPr>
          <w:p>
            <w:pPr>
              <w:jc w:val="right"/>
              <w:ind w:right="28"/>
              <w:spacing w:after="0"/>
              <w:rPr>
                <w:sz w:val="20"/>
                <w:szCs w:val="20"/>
                <w:color w:val="auto"/>
              </w:rPr>
            </w:pPr>
            <w:r>
              <w:rPr>
                <w:rFonts w:ascii="Times New Roman" w:cs="Times New Roman" w:eastAsia="Times New Roman" w:hAnsi="Times New Roman"/>
                <w:sz w:val="14"/>
                <w:szCs w:val="14"/>
                <w:color w:val="auto"/>
              </w:rPr>
              <w:t>1,252</w:t>
            </w:r>
          </w:p>
        </w:tc>
        <w:tc>
          <w:tcPr>
            <w:tcW w:w="120" w:type="dxa"/>
            <w:vAlign w:val="bottom"/>
            <w:tcBorders>
              <w:top w:val="single" w:sz="8" w:color="EAF9E8"/>
            </w:tcBorders>
            <w:shd w:val="clear" w:color="auto" w:fill="EAF9E8"/>
          </w:tcPr>
          <w:p>
            <w:pPr>
              <w:spacing w:after="0"/>
              <w:rPr>
                <w:sz w:val="22"/>
                <w:szCs w:val="22"/>
                <w:color w:val="auto"/>
              </w:rPr>
            </w:pPr>
          </w:p>
        </w:tc>
        <w:tc>
          <w:tcPr>
            <w:tcW w:w="140" w:type="dxa"/>
            <w:vAlign w:val="bottom"/>
            <w:tcBorders>
              <w:top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EAF9E8"/>
          </w:tcPr>
          <w:p>
            <w:pPr>
              <w:jc w:val="right"/>
              <w:ind w:right="29"/>
              <w:spacing w:after="0"/>
              <w:rPr>
                <w:sz w:val="20"/>
                <w:szCs w:val="20"/>
                <w:color w:val="auto"/>
              </w:rPr>
            </w:pPr>
            <w:r>
              <w:rPr>
                <w:rFonts w:ascii="Times New Roman" w:cs="Times New Roman" w:eastAsia="Times New Roman" w:hAnsi="Times New Roman"/>
                <w:sz w:val="14"/>
                <w:szCs w:val="14"/>
                <w:color w:val="auto"/>
              </w:rPr>
              <w:t>515,194</w:t>
            </w:r>
          </w:p>
        </w:tc>
        <w:tc>
          <w:tcPr>
            <w:tcW w:w="12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530,361</w:t>
            </w:r>
          </w:p>
        </w:tc>
        <w:tc>
          <w:tcPr>
            <w:tcW w:w="100" w:type="dxa"/>
            <w:vAlign w:val="bottom"/>
            <w:tcBorders>
              <w:top w:val="single" w:sz="8" w:color="EAF9E8"/>
            </w:tcBorders>
            <w:shd w:val="clear" w:color="auto" w:fill="EAF9E8"/>
          </w:tcPr>
          <w:p>
            <w:pPr>
              <w:spacing w:after="0"/>
              <w:rPr>
                <w:sz w:val="22"/>
                <w:szCs w:val="22"/>
                <w:color w:val="auto"/>
              </w:rPr>
            </w:pPr>
          </w:p>
        </w:tc>
        <w:tc>
          <w:tcPr>
            <w:tcW w:w="100" w:type="dxa"/>
            <w:vAlign w:val="bottom"/>
            <w:tcBorders>
              <w:top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(8,413)</w:t>
            </w:r>
          </w:p>
        </w:tc>
        <w:tc>
          <w:tcPr>
            <w:tcW w:w="100" w:type="dxa"/>
            <w:vAlign w:val="bottom"/>
            <w:tcBorders>
              <w:top w:val="single" w:sz="8" w:color="EAF9E8"/>
            </w:tcBorders>
            <w:shd w:val="clear" w:color="auto" w:fill="EAF9E8"/>
          </w:tcPr>
          <w:p>
            <w:pPr>
              <w:spacing w:after="0"/>
              <w:rPr>
                <w:sz w:val="22"/>
                <w:szCs w:val="22"/>
                <w:color w:val="auto"/>
              </w:rPr>
            </w:pPr>
          </w:p>
        </w:tc>
        <w:tc>
          <w:tcPr>
            <w:tcW w:w="120" w:type="dxa"/>
            <w:vAlign w:val="bottom"/>
            <w:tcBorders>
              <w:top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2,771</w:t>
            </w:r>
          </w:p>
        </w:tc>
        <w:tc>
          <w:tcPr>
            <w:tcW w:w="100" w:type="dxa"/>
            <w:vAlign w:val="bottom"/>
            <w:tcBorders>
              <w:top w:val="single" w:sz="8" w:color="EAF9E8"/>
            </w:tcBorders>
            <w:shd w:val="clear" w:color="auto" w:fill="EAF9E8"/>
          </w:tcPr>
          <w:p>
            <w:pPr>
              <w:spacing w:after="0"/>
              <w:rPr>
                <w:sz w:val="22"/>
                <w:szCs w:val="22"/>
                <w:color w:val="auto"/>
              </w:rPr>
            </w:pPr>
          </w:p>
        </w:tc>
        <w:tc>
          <w:tcPr>
            <w:tcW w:w="220" w:type="dxa"/>
            <w:vAlign w:val="bottom"/>
            <w:tcBorders>
              <w:top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1,041,165</w:t>
            </w:r>
          </w:p>
        </w:tc>
        <w:tc>
          <w:tcPr>
            <w:tcW w:w="0" w:type="dxa"/>
            <w:vAlign w:val="bottom"/>
          </w:tcPr>
          <w:p>
            <w:pPr>
              <w:spacing w:after="0"/>
              <w:rPr>
                <w:sz w:val="1"/>
                <w:szCs w:val="1"/>
                <w:color w:val="auto"/>
              </w:rPr>
            </w:pPr>
          </w:p>
        </w:tc>
      </w:tr>
      <w:tr>
        <w:trPr>
          <w:trHeight w:val="265"/>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(22,455)</w:t>
            </w:r>
          </w:p>
        </w:tc>
        <w:tc>
          <w:tcPr>
            <w:tcW w:w="0" w:type="dxa"/>
            <w:vAlign w:val="bottom"/>
          </w:tcPr>
          <w:p>
            <w:pPr>
              <w:spacing w:after="0"/>
              <w:rPr>
                <w:sz w:val="1"/>
                <w:szCs w:val="1"/>
                <w:color w:val="auto"/>
              </w:rPr>
            </w:pPr>
          </w:p>
        </w:tc>
      </w:tr>
      <w:tr>
        <w:trPr>
          <w:trHeight w:val="158"/>
        </w:trPr>
        <w:tc>
          <w:tcPr>
            <w:tcW w:w="4000" w:type="dxa"/>
            <w:vAlign w:val="bottom"/>
            <w:shd w:val="clear" w:color="auto" w:fill="EAF9E8"/>
          </w:tcPr>
          <w:p>
            <w:pPr>
              <w:ind w:left="180"/>
              <w:spacing w:after="0" w:line="158" w:lineRule="exact"/>
              <w:rPr>
                <w:sz w:val="20"/>
                <w:szCs w:val="20"/>
                <w:color w:val="auto"/>
              </w:rPr>
            </w:pPr>
            <w:r>
              <w:rPr>
                <w:rFonts w:ascii="Times New Roman" w:cs="Times New Roman" w:eastAsia="Times New Roman" w:hAnsi="Times New Roman"/>
                <w:sz w:val="14"/>
                <w:szCs w:val="14"/>
                <w:color w:val="auto"/>
              </w:rPr>
              <w:t>Cumulative effect of fair value election - Mortgage servicing</w:t>
            </w:r>
          </w:p>
        </w:tc>
        <w:tc>
          <w:tcPr>
            <w:tcW w:w="1000" w:type="dxa"/>
            <w:vAlign w:val="bottom"/>
            <w:gridSpan w:val="2"/>
            <w:vMerge w:val="restart"/>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AF9E8"/>
          </w:tcPr>
          <w:p>
            <w:pPr>
              <w:spacing w:after="0"/>
              <w:rPr>
                <w:sz w:val="13"/>
                <w:szCs w:val="13"/>
                <w:color w:val="auto"/>
              </w:rPr>
            </w:pPr>
          </w:p>
        </w:tc>
        <w:tc>
          <w:tcPr>
            <w:tcW w:w="780" w:type="dxa"/>
            <w:vAlign w:val="bottom"/>
            <w:gridSpan w:val="2"/>
            <w:vMerge w:val="restart"/>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AF9E8"/>
          </w:tcPr>
          <w:p>
            <w:pPr>
              <w:spacing w:after="0"/>
              <w:rPr>
                <w:sz w:val="13"/>
                <w:szCs w:val="13"/>
                <w:color w:val="auto"/>
              </w:rPr>
            </w:pPr>
          </w:p>
        </w:tc>
        <w:tc>
          <w:tcPr>
            <w:tcW w:w="980" w:type="dxa"/>
            <w:vAlign w:val="bottom"/>
            <w:gridSpan w:val="2"/>
            <w:vMerge w:val="restart"/>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AF9E8"/>
          </w:tcPr>
          <w:p>
            <w:pPr>
              <w:spacing w:after="0"/>
              <w:rPr>
                <w:sz w:val="13"/>
                <w:szCs w:val="13"/>
                <w:color w:val="auto"/>
              </w:rPr>
            </w:pPr>
          </w:p>
        </w:tc>
        <w:tc>
          <w:tcPr>
            <w:tcW w:w="800" w:type="dxa"/>
            <w:vAlign w:val="bottom"/>
            <w:vMerge w:val="restart"/>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42,788</w:t>
            </w:r>
          </w:p>
        </w:tc>
        <w:tc>
          <w:tcPr>
            <w:tcW w:w="1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020" w:type="dxa"/>
            <w:vAlign w:val="bottom"/>
            <w:gridSpan w:val="2"/>
            <w:vMerge w:val="restart"/>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AF9E8"/>
          </w:tcPr>
          <w:p>
            <w:pPr>
              <w:spacing w:after="0"/>
              <w:rPr>
                <w:sz w:val="13"/>
                <w:szCs w:val="13"/>
                <w:color w:val="auto"/>
              </w:rPr>
            </w:pPr>
          </w:p>
        </w:tc>
        <w:tc>
          <w:tcPr>
            <w:tcW w:w="1000" w:type="dxa"/>
            <w:vAlign w:val="bottom"/>
            <w:gridSpan w:val="2"/>
            <w:vMerge w:val="restart"/>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AF9E8"/>
          </w:tcPr>
          <w:p>
            <w:pPr>
              <w:spacing w:after="0"/>
              <w:rPr>
                <w:sz w:val="13"/>
                <w:szCs w:val="13"/>
                <w:color w:val="auto"/>
              </w:rPr>
            </w:pPr>
          </w:p>
        </w:tc>
        <w:tc>
          <w:tcPr>
            <w:tcW w:w="800" w:type="dxa"/>
            <w:vAlign w:val="bottom"/>
            <w:vMerge w:val="restart"/>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42,788</w:t>
            </w:r>
          </w:p>
        </w:tc>
        <w:tc>
          <w:tcPr>
            <w:tcW w:w="0" w:type="dxa"/>
            <w:vAlign w:val="bottom"/>
          </w:tcPr>
          <w:p>
            <w:pPr>
              <w:spacing w:after="0"/>
              <w:rPr>
                <w:sz w:val="1"/>
                <w:szCs w:val="1"/>
                <w:color w:val="auto"/>
              </w:rPr>
            </w:pPr>
          </w:p>
        </w:tc>
      </w:tr>
      <w:tr>
        <w:trPr>
          <w:trHeight w:val="198"/>
        </w:trPr>
        <w:tc>
          <w:tcPr>
            <w:tcW w:w="4000" w:type="dxa"/>
            <w:vAlign w:val="bottom"/>
            <w:shd w:val="clear" w:color="auto" w:fill="EAF9E8"/>
          </w:tcPr>
          <w:p>
            <w:pPr>
              <w:ind w:left="340"/>
              <w:spacing w:after="0"/>
              <w:rPr>
                <w:sz w:val="20"/>
                <w:szCs w:val="20"/>
                <w:color w:val="auto"/>
              </w:rPr>
            </w:pPr>
            <w:r>
              <w:rPr>
                <w:rFonts w:ascii="Times New Roman" w:cs="Times New Roman" w:eastAsia="Times New Roman" w:hAnsi="Times New Roman"/>
                <w:sz w:val="14"/>
                <w:szCs w:val="14"/>
                <w:color w:val="auto"/>
              </w:rPr>
              <w:t>rights, net of income taxes</w:t>
            </w:r>
          </w:p>
        </w:tc>
        <w:tc>
          <w:tcPr>
            <w:tcW w:w="1000" w:type="dxa"/>
            <w:vAlign w:val="bottom"/>
            <w:gridSpan w:val="2"/>
            <w:vMerge w:val="continue"/>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gridSpan w:val="2"/>
            <w:vMerge w:val="continue"/>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gridSpan w:val="2"/>
            <w:vMerge w:val="continue"/>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vMerge w:val="continue"/>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20" w:type="dxa"/>
            <w:vAlign w:val="bottom"/>
            <w:gridSpan w:val="2"/>
            <w:vMerge w:val="continue"/>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gridSpan w:val="2"/>
            <w:vMerge w:val="continue"/>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vMerge w:val="continue"/>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85,173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75"/>
        </w:trPr>
        <w:tc>
          <w:tcPr>
            <w:tcW w:w="400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4"/>
                <w:szCs w:val="14"/>
                <w:color w:val="auto"/>
              </w:rPr>
              <w:t>Equity-based compensation and other</w:t>
            </w:r>
          </w:p>
        </w:tc>
        <w:tc>
          <w:tcPr>
            <w:tcW w:w="900" w:type="dxa"/>
            <w:vAlign w:val="bottom"/>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89,694</w:t>
            </w: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660" w:type="dxa"/>
            <w:vAlign w:val="bottom"/>
            <w:shd w:val="clear" w:color="auto" w:fill="EAF9E8"/>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860" w:type="dxa"/>
            <w:vAlign w:val="bottom"/>
            <w:shd w:val="clear" w:color="auto" w:fill="EAF9E8"/>
          </w:tcPr>
          <w:p>
            <w:pPr>
              <w:jc w:val="right"/>
              <w:ind w:right="29"/>
              <w:spacing w:after="0"/>
              <w:rPr>
                <w:sz w:val="20"/>
                <w:szCs w:val="20"/>
                <w:color w:val="auto"/>
              </w:rPr>
            </w:pPr>
            <w:r>
              <w:rPr>
                <w:rFonts w:ascii="Times New Roman" w:cs="Times New Roman" w:eastAsia="Times New Roman" w:hAnsi="Times New Roman"/>
                <w:sz w:val="14"/>
                <w:szCs w:val="14"/>
                <w:color w:val="auto"/>
              </w:rPr>
              <w:t>11,920</w:t>
            </w:r>
          </w:p>
        </w:tc>
        <w:tc>
          <w:tcPr>
            <w:tcW w:w="12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AF9E8"/>
          </w:tcPr>
          <w:p>
            <w:pPr>
              <w:spacing w:after="0"/>
              <w:rPr>
                <w:sz w:val="23"/>
                <w:szCs w:val="23"/>
                <w:color w:val="auto"/>
              </w:rPr>
            </w:pPr>
          </w:p>
        </w:tc>
        <w:tc>
          <w:tcPr>
            <w:tcW w:w="102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AF9E8"/>
          </w:tcPr>
          <w:p>
            <w:pPr>
              <w:spacing w:after="0"/>
              <w:rPr>
                <w:sz w:val="23"/>
                <w:szCs w:val="23"/>
                <w:color w:val="auto"/>
              </w:rPr>
            </w:pPr>
          </w:p>
        </w:tc>
        <w:tc>
          <w:tcPr>
            <w:tcW w:w="100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AF9E8"/>
          </w:tcPr>
          <w:p>
            <w:pPr>
              <w:spacing w:after="0"/>
              <w:rPr>
                <w:sz w:val="23"/>
                <w:szCs w:val="23"/>
                <w:color w:val="auto"/>
              </w:rPr>
            </w:pPr>
          </w:p>
        </w:tc>
        <w:tc>
          <w:tcPr>
            <w:tcW w:w="800" w:type="dxa"/>
            <w:vAlign w:val="bottom"/>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11,921</w:t>
            </w:r>
          </w:p>
        </w:tc>
        <w:tc>
          <w:tcPr>
            <w:tcW w:w="0" w:type="dxa"/>
            <w:vAlign w:val="bottom"/>
          </w:tcPr>
          <w:p>
            <w:pPr>
              <w:spacing w:after="0"/>
              <w:rPr>
                <w:sz w:val="1"/>
                <w:szCs w:val="1"/>
                <w:color w:val="auto"/>
              </w:rPr>
            </w:pPr>
          </w:p>
        </w:tc>
      </w:tr>
      <w:tr>
        <w:trPr>
          <w:trHeight w:val="265"/>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income taxes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6,527</w:t>
            </w:r>
          </w:p>
        </w:tc>
        <w:tc>
          <w:tcPr>
            <w:tcW w:w="0" w:type="dxa"/>
            <w:vAlign w:val="bottom"/>
          </w:tcPr>
          <w:p>
            <w:pPr>
              <w:spacing w:after="0"/>
              <w:rPr>
                <w:sz w:val="1"/>
                <w:szCs w:val="1"/>
                <w:color w:val="auto"/>
              </w:rPr>
            </w:pPr>
          </w:p>
        </w:tc>
      </w:tr>
      <w:tr>
        <w:trPr>
          <w:trHeight w:val="242"/>
        </w:trPr>
        <w:tc>
          <w:tcPr>
            <w:tcW w:w="4000" w:type="dxa"/>
            <w:vAlign w:val="bottom"/>
            <w:tcBorders>
              <w:top w:val="single" w:sz="8" w:color="EAF9E8"/>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30, 2015</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125,390,482</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EAF9E8"/>
          </w:tcPr>
          <w:p>
            <w:pPr>
              <w:jc w:val="right"/>
              <w:ind w:right="28"/>
              <w:spacing w:after="0"/>
              <w:rPr>
                <w:sz w:val="20"/>
                <w:szCs w:val="20"/>
                <w:color w:val="auto"/>
              </w:rPr>
            </w:pPr>
            <w:r>
              <w:rPr>
                <w:rFonts w:ascii="Times New Roman" w:cs="Times New Roman" w:eastAsia="Times New Roman" w:hAnsi="Times New Roman"/>
                <w:sz w:val="14"/>
                <w:szCs w:val="14"/>
                <w:color w:val="auto"/>
              </w:rPr>
              <w:t>1,254</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1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EAF9E8"/>
          </w:tcPr>
          <w:p>
            <w:pPr>
              <w:jc w:val="right"/>
              <w:ind w:right="29"/>
              <w:spacing w:after="0"/>
              <w:rPr>
                <w:sz w:val="20"/>
                <w:szCs w:val="20"/>
                <w:color w:val="auto"/>
              </w:rPr>
            </w:pPr>
            <w:r>
              <w:rPr>
                <w:rFonts w:ascii="Times New Roman" w:cs="Times New Roman" w:eastAsia="Times New Roman" w:hAnsi="Times New Roman"/>
                <w:sz w:val="14"/>
                <w:szCs w:val="14"/>
                <w:color w:val="auto"/>
              </w:rPr>
              <w:t>527,622</w:t>
            </w:r>
          </w:p>
        </w:tc>
        <w:tc>
          <w:tcPr>
            <w:tcW w:w="12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550,373</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00" w:type="dxa"/>
            <w:vAlign w:val="bottom"/>
            <w:tcBorders>
              <w:top w:val="single" w:sz="8" w:color="auto"/>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3,092</w:t>
            </w:r>
          </w:p>
        </w:tc>
        <w:tc>
          <w:tcPr>
            <w:tcW w:w="100" w:type="dxa"/>
            <w:vAlign w:val="bottom"/>
            <w:tcBorders>
              <w:top w:val="single" w:sz="8" w:color="EAF9E8"/>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1,080,455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00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8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8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2013</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135,176,271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818,427</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1,002,963</w:t>
            </w:r>
          </w:p>
        </w:tc>
        <w:tc>
          <w:tcPr>
            <w:tcW w:w="10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1,812,591</w:t>
            </w:r>
          </w:p>
        </w:tc>
        <w:tc>
          <w:tcPr>
            <w:tcW w:w="0" w:type="dxa"/>
            <w:vAlign w:val="bottom"/>
          </w:tcPr>
          <w:p>
            <w:pPr>
              <w:spacing w:after="0"/>
              <w:rPr>
                <w:sz w:val="1"/>
                <w:szCs w:val="1"/>
                <w:color w:val="auto"/>
              </w:rPr>
            </w:pPr>
          </w:p>
        </w:tc>
      </w:tr>
      <w:tr>
        <w:trPr>
          <w:trHeight w:val="275"/>
        </w:trPr>
        <w:tc>
          <w:tcPr>
            <w:tcW w:w="400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AF9E8"/>
          </w:tcPr>
          <w:p>
            <w:pPr>
              <w:spacing w:after="0"/>
              <w:rPr>
                <w:sz w:val="23"/>
                <w:szCs w:val="23"/>
                <w:color w:val="auto"/>
              </w:rPr>
            </w:pPr>
          </w:p>
        </w:tc>
        <w:tc>
          <w:tcPr>
            <w:tcW w:w="78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AF9E8"/>
          </w:tcPr>
          <w:p>
            <w:pPr>
              <w:spacing w:after="0"/>
              <w:rPr>
                <w:sz w:val="23"/>
                <w:szCs w:val="23"/>
                <w:color w:val="auto"/>
              </w:rPr>
            </w:pPr>
          </w:p>
        </w:tc>
        <w:tc>
          <w:tcPr>
            <w:tcW w:w="98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AF9E8"/>
          </w:tcPr>
          <w:p>
            <w:pPr>
              <w:spacing w:after="0"/>
              <w:rPr>
                <w:sz w:val="23"/>
                <w:szCs w:val="23"/>
                <w:color w:val="auto"/>
              </w:rPr>
            </w:pPr>
          </w:p>
        </w:tc>
        <w:tc>
          <w:tcPr>
            <w:tcW w:w="800" w:type="dxa"/>
            <w:vAlign w:val="bottom"/>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52,075</w:t>
            </w:r>
          </w:p>
        </w:tc>
        <w:tc>
          <w:tcPr>
            <w:tcW w:w="10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2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AF9E8"/>
          </w:tcPr>
          <w:p>
            <w:pPr>
              <w:spacing w:after="0"/>
              <w:rPr>
                <w:sz w:val="23"/>
                <w:szCs w:val="23"/>
                <w:color w:val="auto"/>
              </w:rPr>
            </w:pPr>
          </w:p>
        </w:tc>
        <w:tc>
          <w:tcPr>
            <w:tcW w:w="900" w:type="dxa"/>
            <w:vAlign w:val="bottom"/>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800" w:type="dxa"/>
            <w:vAlign w:val="bottom"/>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52,240</w:t>
            </w:r>
          </w:p>
        </w:tc>
        <w:tc>
          <w:tcPr>
            <w:tcW w:w="0" w:type="dxa"/>
            <w:vAlign w:val="bottom"/>
          </w:tcPr>
          <w:p>
            <w:pPr>
              <w:spacing w:after="0"/>
              <w:rPr>
                <w:sz w:val="1"/>
                <w:szCs w:val="1"/>
                <w:color w:val="auto"/>
              </w:rPr>
            </w:pPr>
          </w:p>
        </w:tc>
      </w:tr>
      <w:tr>
        <w:trPr>
          <w:trHeight w:val="265"/>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dividends ($18.75 per share)</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158"/>
        </w:trPr>
        <w:tc>
          <w:tcPr>
            <w:tcW w:w="4000" w:type="dxa"/>
            <w:vAlign w:val="bottom"/>
            <w:shd w:val="clear" w:color="auto" w:fill="EAF9E8"/>
          </w:tcPr>
          <w:p>
            <w:pPr>
              <w:ind w:left="180"/>
              <w:spacing w:after="0" w:line="158" w:lineRule="exact"/>
              <w:rPr>
                <w:sz w:val="20"/>
                <w:szCs w:val="20"/>
                <w:color w:val="auto"/>
              </w:rPr>
            </w:pPr>
            <w:r>
              <w:rPr>
                <w:rFonts w:ascii="Times New Roman" w:cs="Times New Roman" w:eastAsia="Times New Roman" w:hAnsi="Times New Roman"/>
                <w:sz w:val="14"/>
                <w:szCs w:val="14"/>
                <w:color w:val="auto"/>
              </w:rPr>
              <w:t>Deemed dividend related to beneficial conversion feature of</w:t>
            </w:r>
          </w:p>
        </w:tc>
        <w:tc>
          <w:tcPr>
            <w:tcW w:w="1000" w:type="dxa"/>
            <w:vAlign w:val="bottom"/>
            <w:gridSpan w:val="2"/>
            <w:vMerge w:val="restart"/>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AF9E8"/>
          </w:tcPr>
          <w:p>
            <w:pPr>
              <w:spacing w:after="0"/>
              <w:rPr>
                <w:sz w:val="13"/>
                <w:szCs w:val="13"/>
                <w:color w:val="auto"/>
              </w:rPr>
            </w:pPr>
          </w:p>
        </w:tc>
        <w:tc>
          <w:tcPr>
            <w:tcW w:w="780" w:type="dxa"/>
            <w:vAlign w:val="bottom"/>
            <w:gridSpan w:val="2"/>
            <w:vMerge w:val="restart"/>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AF9E8"/>
          </w:tcPr>
          <w:p>
            <w:pPr>
              <w:spacing w:after="0"/>
              <w:rPr>
                <w:sz w:val="13"/>
                <w:szCs w:val="13"/>
                <w:color w:val="auto"/>
              </w:rPr>
            </w:pPr>
          </w:p>
        </w:tc>
        <w:tc>
          <w:tcPr>
            <w:tcW w:w="980" w:type="dxa"/>
            <w:vAlign w:val="bottom"/>
            <w:gridSpan w:val="2"/>
            <w:vMerge w:val="restart"/>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AF9E8"/>
          </w:tcPr>
          <w:p>
            <w:pPr>
              <w:spacing w:after="0"/>
              <w:rPr>
                <w:sz w:val="13"/>
                <w:szCs w:val="13"/>
                <w:color w:val="auto"/>
              </w:rPr>
            </w:pPr>
          </w:p>
        </w:tc>
        <w:tc>
          <w:tcPr>
            <w:tcW w:w="800" w:type="dxa"/>
            <w:vAlign w:val="bottom"/>
            <w:vMerge w:val="restart"/>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100" w:type="dxa"/>
            <w:vAlign w:val="bottom"/>
            <w:shd w:val="clear" w:color="auto" w:fill="EAF9E8"/>
          </w:tcPr>
          <w:p>
            <w:pPr>
              <w:spacing w:after="0"/>
              <w:rPr>
                <w:sz w:val="13"/>
                <w:szCs w:val="13"/>
                <w:color w:val="auto"/>
              </w:rPr>
            </w:pPr>
          </w:p>
        </w:tc>
        <w:tc>
          <w:tcPr>
            <w:tcW w:w="100" w:type="dxa"/>
            <w:vAlign w:val="bottom"/>
            <w:shd w:val="clear" w:color="auto" w:fill="EAF9E8"/>
          </w:tcPr>
          <w:p>
            <w:pPr>
              <w:spacing w:after="0"/>
              <w:rPr>
                <w:sz w:val="13"/>
                <w:szCs w:val="13"/>
                <w:color w:val="auto"/>
              </w:rPr>
            </w:pPr>
          </w:p>
        </w:tc>
        <w:tc>
          <w:tcPr>
            <w:tcW w:w="1020" w:type="dxa"/>
            <w:vAlign w:val="bottom"/>
            <w:gridSpan w:val="2"/>
            <w:vMerge w:val="restart"/>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AF9E8"/>
          </w:tcPr>
          <w:p>
            <w:pPr>
              <w:spacing w:after="0"/>
              <w:rPr>
                <w:sz w:val="13"/>
                <w:szCs w:val="13"/>
                <w:color w:val="auto"/>
              </w:rPr>
            </w:pPr>
          </w:p>
        </w:tc>
        <w:tc>
          <w:tcPr>
            <w:tcW w:w="1000" w:type="dxa"/>
            <w:vAlign w:val="bottom"/>
            <w:gridSpan w:val="2"/>
            <w:vMerge w:val="restart"/>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AF9E8"/>
          </w:tcPr>
          <w:p>
            <w:pPr>
              <w:spacing w:after="0"/>
              <w:rPr>
                <w:sz w:val="13"/>
                <w:szCs w:val="13"/>
                <w:color w:val="auto"/>
              </w:rPr>
            </w:pPr>
          </w:p>
        </w:tc>
        <w:tc>
          <w:tcPr>
            <w:tcW w:w="800" w:type="dxa"/>
            <w:vAlign w:val="bottom"/>
            <w:vMerge w:val="restart"/>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0" w:type="dxa"/>
            <w:vAlign w:val="bottom"/>
          </w:tcPr>
          <w:p>
            <w:pPr>
              <w:spacing w:after="0"/>
              <w:rPr>
                <w:sz w:val="1"/>
                <w:szCs w:val="1"/>
                <w:color w:val="auto"/>
              </w:rPr>
            </w:pPr>
          </w:p>
        </w:tc>
      </w:tr>
      <w:tr>
        <w:trPr>
          <w:trHeight w:val="198"/>
        </w:trPr>
        <w:tc>
          <w:tcPr>
            <w:tcW w:w="400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4"/>
                <w:szCs w:val="14"/>
                <w:color w:val="auto"/>
              </w:rPr>
              <w:t>preferred stock</w:t>
            </w:r>
          </w:p>
        </w:tc>
        <w:tc>
          <w:tcPr>
            <w:tcW w:w="1000" w:type="dxa"/>
            <w:vAlign w:val="bottom"/>
            <w:gridSpan w:val="2"/>
            <w:vMerge w:val="continue"/>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gridSpan w:val="2"/>
            <w:vMerge w:val="continue"/>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gridSpan w:val="2"/>
            <w:vMerge w:val="continue"/>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vMerge w:val="continue"/>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20" w:type="dxa"/>
            <w:vAlign w:val="bottom"/>
            <w:gridSpan w:val="2"/>
            <w:vMerge w:val="continue"/>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gridSpan w:val="2"/>
            <w:vMerge w:val="continue"/>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00" w:type="dxa"/>
            <w:vAlign w:val="bottom"/>
            <w:vMerge w:val="continue"/>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Conversion of preferred stock</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1,950,296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61,980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62,000</w:t>
            </w:r>
          </w:p>
        </w:tc>
        <w:tc>
          <w:tcPr>
            <w:tcW w:w="0" w:type="dxa"/>
            <w:vAlign w:val="bottom"/>
          </w:tcPr>
          <w:p>
            <w:pPr>
              <w:spacing w:after="0"/>
              <w:rPr>
                <w:sz w:val="1"/>
                <w:szCs w:val="1"/>
                <w:color w:val="auto"/>
              </w:rPr>
            </w:pPr>
          </w:p>
        </w:tc>
      </w:tr>
      <w:tr>
        <w:trPr>
          <w:trHeight w:val="275"/>
        </w:trPr>
        <w:tc>
          <w:tcPr>
            <w:tcW w:w="400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00" w:type="dxa"/>
            <w:vAlign w:val="bottom"/>
            <w:shd w:val="clear" w:color="auto" w:fill="EAF9E8"/>
          </w:tcPr>
          <w:p>
            <w:pPr>
              <w:jc w:val="right"/>
              <w:ind w:right="8"/>
              <w:spacing w:after="0"/>
              <w:rPr>
                <w:sz w:val="20"/>
                <w:szCs w:val="20"/>
                <w:color w:val="auto"/>
              </w:rPr>
            </w:pPr>
            <w:r>
              <w:rPr>
                <w:rFonts w:ascii="Times New Roman" w:cs="Times New Roman" w:eastAsia="Times New Roman" w:hAnsi="Times New Roman"/>
                <w:sz w:val="14"/>
                <w:szCs w:val="14"/>
                <w:color w:val="auto"/>
              </w:rPr>
              <w:t>(9,920,649)</w:t>
            </w: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6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8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(325,510)</w:t>
            </w:r>
          </w:p>
        </w:tc>
        <w:tc>
          <w:tcPr>
            <w:tcW w:w="12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AF9E8"/>
          </w:tcPr>
          <w:p>
            <w:pPr>
              <w:spacing w:after="0"/>
              <w:rPr>
                <w:sz w:val="23"/>
                <w:szCs w:val="23"/>
                <w:color w:val="auto"/>
              </w:rPr>
            </w:pPr>
          </w:p>
        </w:tc>
        <w:tc>
          <w:tcPr>
            <w:tcW w:w="102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AF9E8"/>
          </w:tcPr>
          <w:p>
            <w:pPr>
              <w:spacing w:after="0"/>
              <w:rPr>
                <w:sz w:val="23"/>
                <w:szCs w:val="23"/>
                <w:color w:val="auto"/>
              </w:rPr>
            </w:pPr>
          </w:p>
        </w:tc>
        <w:tc>
          <w:tcPr>
            <w:tcW w:w="100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AF9E8"/>
          </w:tcPr>
          <w:p>
            <w:pPr>
              <w:spacing w:after="0"/>
              <w:rPr>
                <w:sz w:val="23"/>
                <w:szCs w:val="23"/>
                <w:color w:val="auto"/>
              </w:rPr>
            </w:pPr>
          </w:p>
        </w:tc>
        <w:tc>
          <w:tcPr>
            <w:tcW w:w="8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4"/>
                <w:szCs w:val="14"/>
                <w:color w:val="auto"/>
              </w:rPr>
              <w:t>(325,609)</w:t>
            </w:r>
          </w:p>
        </w:tc>
        <w:tc>
          <w:tcPr>
            <w:tcW w:w="0" w:type="dxa"/>
            <w:vAlign w:val="bottom"/>
          </w:tcPr>
          <w:p>
            <w:pPr>
              <w:spacing w:after="0"/>
              <w:rPr>
                <w:sz w:val="1"/>
                <w:szCs w:val="1"/>
                <w:color w:val="auto"/>
              </w:rPr>
            </w:pPr>
          </w:p>
        </w:tc>
      </w:tr>
      <w:tr>
        <w:trPr>
          <w:trHeight w:val="265"/>
        </w:trPr>
        <w:tc>
          <w:tcPr>
            <w:tcW w:w="4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244,000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1,038</w:t>
            </w:r>
          </w:p>
        </w:tc>
        <w:tc>
          <w:tcPr>
            <w:tcW w:w="0" w:type="dxa"/>
            <w:vAlign w:val="bottom"/>
          </w:tcPr>
          <w:p>
            <w:pPr>
              <w:spacing w:after="0"/>
              <w:rPr>
                <w:sz w:val="1"/>
                <w:szCs w:val="1"/>
                <w:color w:val="auto"/>
              </w:rPr>
            </w:pPr>
          </w:p>
        </w:tc>
      </w:tr>
      <w:tr>
        <w:trPr>
          <w:trHeight w:val="275"/>
        </w:trPr>
        <w:tc>
          <w:tcPr>
            <w:tcW w:w="400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4"/>
                <w:szCs w:val="14"/>
                <w:color w:val="auto"/>
              </w:rPr>
              <w:t>Equity-based compensation and other</w:t>
            </w:r>
          </w:p>
        </w:tc>
        <w:tc>
          <w:tcPr>
            <w:tcW w:w="900" w:type="dxa"/>
            <w:vAlign w:val="bottom"/>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17,887</w:t>
            </w: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78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AF9E8"/>
          </w:tcPr>
          <w:p>
            <w:pPr>
              <w:spacing w:after="0"/>
              <w:rPr>
                <w:sz w:val="23"/>
                <w:szCs w:val="23"/>
                <w:color w:val="auto"/>
              </w:rPr>
            </w:pPr>
          </w:p>
        </w:tc>
        <w:tc>
          <w:tcPr>
            <w:tcW w:w="860" w:type="dxa"/>
            <w:vAlign w:val="bottom"/>
            <w:shd w:val="clear" w:color="auto" w:fill="EAF9E8"/>
          </w:tcPr>
          <w:p>
            <w:pPr>
              <w:jc w:val="right"/>
              <w:ind w:right="29"/>
              <w:spacing w:after="0"/>
              <w:rPr>
                <w:sz w:val="20"/>
                <w:szCs w:val="20"/>
                <w:color w:val="auto"/>
              </w:rPr>
            </w:pPr>
            <w:r>
              <w:rPr>
                <w:rFonts w:ascii="Times New Roman" w:cs="Times New Roman" w:eastAsia="Times New Roman" w:hAnsi="Times New Roman"/>
                <w:sz w:val="14"/>
                <w:szCs w:val="14"/>
                <w:color w:val="auto"/>
              </w:rPr>
              <w:t>11,092</w:t>
            </w:r>
          </w:p>
        </w:tc>
        <w:tc>
          <w:tcPr>
            <w:tcW w:w="120" w:type="dxa"/>
            <w:vAlign w:val="bottom"/>
            <w:shd w:val="clear" w:color="auto" w:fill="EAF9E8"/>
          </w:tcPr>
          <w:p>
            <w:pPr>
              <w:spacing w:after="0"/>
              <w:rPr>
                <w:sz w:val="23"/>
                <w:szCs w:val="23"/>
                <w:color w:val="auto"/>
              </w:rPr>
            </w:pPr>
          </w:p>
        </w:tc>
        <w:tc>
          <w:tcPr>
            <w:tcW w:w="2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AF9E8"/>
          </w:tcPr>
          <w:p>
            <w:pPr>
              <w:spacing w:after="0"/>
              <w:rPr>
                <w:sz w:val="23"/>
                <w:szCs w:val="23"/>
                <w:color w:val="auto"/>
              </w:rPr>
            </w:pPr>
          </w:p>
        </w:tc>
        <w:tc>
          <w:tcPr>
            <w:tcW w:w="102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AF9E8"/>
          </w:tcPr>
          <w:p>
            <w:pPr>
              <w:spacing w:after="0"/>
              <w:rPr>
                <w:sz w:val="23"/>
                <w:szCs w:val="23"/>
                <w:color w:val="auto"/>
              </w:rPr>
            </w:pPr>
          </w:p>
        </w:tc>
        <w:tc>
          <w:tcPr>
            <w:tcW w:w="100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AF9E8"/>
          </w:tcPr>
          <w:p>
            <w:pPr>
              <w:spacing w:after="0"/>
              <w:rPr>
                <w:sz w:val="23"/>
                <w:szCs w:val="23"/>
                <w:color w:val="auto"/>
              </w:rPr>
            </w:pPr>
          </w:p>
        </w:tc>
        <w:tc>
          <w:tcPr>
            <w:tcW w:w="800" w:type="dxa"/>
            <w:vAlign w:val="bottom"/>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11,092</w:t>
            </w:r>
          </w:p>
        </w:tc>
        <w:tc>
          <w:tcPr>
            <w:tcW w:w="0" w:type="dxa"/>
            <w:vAlign w:val="bottom"/>
          </w:tcPr>
          <w:p>
            <w:pPr>
              <w:spacing w:after="0"/>
              <w:rPr>
                <w:sz w:val="1"/>
                <w:szCs w:val="1"/>
                <w:color w:val="auto"/>
              </w:rPr>
            </w:pPr>
          </w:p>
        </w:tc>
      </w:tr>
      <w:tr>
        <w:trPr>
          <w:trHeight w:val="153"/>
        </w:trPr>
        <w:tc>
          <w:tcPr>
            <w:tcW w:w="400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Non-controlling interest in connection with acquisition of</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2,526</w:t>
            </w:r>
          </w:p>
        </w:tc>
        <w:tc>
          <w:tcPr>
            <w:tcW w:w="0" w:type="dxa"/>
            <w:vAlign w:val="bottom"/>
          </w:tcPr>
          <w:p>
            <w:pPr>
              <w:spacing w:after="0"/>
              <w:rPr>
                <w:sz w:val="1"/>
                <w:szCs w:val="1"/>
                <w:color w:val="auto"/>
              </w:rPr>
            </w:pPr>
          </w:p>
        </w:tc>
      </w:tr>
      <w:tr>
        <w:trPr>
          <w:trHeight w:val="193"/>
        </w:trPr>
        <w:tc>
          <w:tcPr>
            <w:tcW w:w="4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controlling interest in Ocwen Structured Investments, LLC</w:t>
            </w: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income taxes</w:t>
            </w:r>
          </w:p>
        </w:tc>
        <w:tc>
          <w:tcPr>
            <w:tcW w:w="100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AF9E8"/>
          </w:tcPr>
          <w:p>
            <w:pPr>
              <w:spacing w:after="0"/>
              <w:rPr>
                <w:sz w:val="23"/>
                <w:szCs w:val="23"/>
                <w:color w:val="auto"/>
              </w:rPr>
            </w:pPr>
          </w:p>
        </w:tc>
        <w:tc>
          <w:tcPr>
            <w:tcW w:w="78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AF9E8"/>
          </w:tcPr>
          <w:p>
            <w:pPr>
              <w:spacing w:after="0"/>
              <w:rPr>
                <w:sz w:val="23"/>
                <w:szCs w:val="23"/>
                <w:color w:val="auto"/>
              </w:rPr>
            </w:pPr>
          </w:p>
        </w:tc>
        <w:tc>
          <w:tcPr>
            <w:tcW w:w="98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AF9E8"/>
          </w:tcPr>
          <w:p>
            <w:pPr>
              <w:spacing w:after="0"/>
              <w:rPr>
                <w:sz w:val="23"/>
                <w:szCs w:val="23"/>
                <w:color w:val="auto"/>
              </w:rPr>
            </w:pPr>
          </w:p>
        </w:tc>
        <w:tc>
          <w:tcPr>
            <w:tcW w:w="90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AF9E8"/>
          </w:tcPr>
          <w:p>
            <w:pPr>
              <w:spacing w:after="0"/>
              <w:rPr>
                <w:sz w:val="23"/>
                <w:szCs w:val="23"/>
                <w:color w:val="auto"/>
              </w:rPr>
            </w:pPr>
          </w:p>
        </w:tc>
        <w:tc>
          <w:tcPr>
            <w:tcW w:w="920" w:type="dxa"/>
            <w:vAlign w:val="bottom"/>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1,367</w:t>
            </w:r>
          </w:p>
        </w:tc>
        <w:tc>
          <w:tcPr>
            <w:tcW w:w="10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0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AF9E8"/>
          </w:tcPr>
          <w:p>
            <w:pPr>
              <w:spacing w:after="0"/>
              <w:rPr>
                <w:sz w:val="23"/>
                <w:szCs w:val="23"/>
                <w:color w:val="auto"/>
              </w:rPr>
            </w:pPr>
          </w:p>
        </w:tc>
        <w:tc>
          <w:tcPr>
            <w:tcW w:w="800" w:type="dxa"/>
            <w:vAlign w:val="bottom"/>
            <w:shd w:val="clear" w:color="auto" w:fill="EAF9E8"/>
          </w:tcPr>
          <w:p>
            <w:pPr>
              <w:jc w:val="right"/>
              <w:ind w:right="48"/>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30, 2014</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127,467,805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1,275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567,025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1,052,236</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2,691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1,614,443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576" w:right="259" w:bottom="1440" w:gutter="0" w:footer="0" w:header="0"/>
        </w:sectPr>
      </w:pPr>
    </w:p>
    <w:bookmarkStart w:id="8" w:name="page9"/>
    <w:bookmarkEnd w:id="8"/>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92"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p>
      <w:pPr>
        <w:spacing w:after="0" w:line="31"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22860</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52,240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186,075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Loss on valuation of mortgage servicing rights, at fair value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73,257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13,147</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 of mortgage servicing rights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Gain on sale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(97,958)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Realized and unrealized losses on derivative financial instruments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Provision for bad debts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25,272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49,583</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16,601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10,385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3,754</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(Gain) loss on sale of fixed assets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2,093</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 in deferred tax assets,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35,884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9,372</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Origination and purchase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(3,713,311)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(6,007,152)</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sale and collections of loans held for sale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3,935,420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6,013,059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 in advances and match funded advances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491,654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236,688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Increase in receivables and other assets, net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(11,806)</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46,243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14,866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23,929</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773,994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559,015</w:t>
            </w:r>
          </w:p>
        </w:tc>
      </w:tr>
      <w:tr>
        <w:trPr>
          <w:trHeight w:val="27"/>
        </w:trPr>
        <w:tc>
          <w:tcPr>
            <w:tcW w:w="83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83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Origination of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(781,002)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(565,670)</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payments received on loans held for investment - reverse mortgages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105,520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56,193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Purchase of mortgage servicing rights, net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(19,395)</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sale of mortgage servicing rights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598,059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Acquisition of advances in connection with the purchase of mortgage servicing rights</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(84,373)</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of advances in connection with the purchase of loans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Proceeds from sale of advances and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285,938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Proceeds from sale of premises and equipment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4,758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paid to acquire ResCap Servicing Operations (a component of Residential Capital, LLC)</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Net cash paid to acquire controlling interest in Ocwen Structured Investments, LLC</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(7,834)</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Distributions of capital from unconsolidated entities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4,248</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provided by (used in)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188,965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(732,368)</w:t>
            </w:r>
          </w:p>
        </w:tc>
      </w:tr>
      <w:tr>
        <w:trPr>
          <w:trHeight w:val="27"/>
        </w:trPr>
        <w:tc>
          <w:tcPr>
            <w:tcW w:w="83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836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Repayment of match funded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(500,401)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(329,175)</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other secured borrowings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5,647,016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4,352,495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Repayments of other secured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(6,572,601)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(4,532,029)</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issuance of senior unsecured notes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(18,610)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(6,835)</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sale of mortgage servicing rights accounted for as a financing</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123,551</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Proceeds from sale of loans accounted for as a financing</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803,924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572,031</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sale of advances accounted for as a financing</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88,095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(325,609)</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of preferred stock dividends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64"/>
        </w:trPr>
        <w:tc>
          <w:tcPr>
            <w:tcW w:w="8360" w:type="dxa"/>
            <w:vAlign w:val="bottom"/>
            <w:tcBorders>
              <w:bottom w:val="single" w:sz="8" w:color="EAF9E8"/>
            </w:tcBorders>
          </w:tcPr>
          <w:p>
            <w:pPr>
              <w:spacing w:after="0"/>
              <w:rPr>
                <w:sz w:val="5"/>
                <w:szCs w:val="5"/>
                <w:color w:val="auto"/>
              </w:rPr>
            </w:pPr>
          </w:p>
        </w:tc>
        <w:tc>
          <w:tcPr>
            <w:tcW w:w="340" w:type="dxa"/>
            <w:vAlign w:val="bottom"/>
            <w:tcBorders>
              <w:bottom w:val="single" w:sz="8" w:color="EAF9E8"/>
            </w:tcBorders>
          </w:tcPr>
          <w:p>
            <w:pPr>
              <w:spacing w:after="0"/>
              <w:rPr>
                <w:sz w:val="5"/>
                <w:szCs w:val="5"/>
                <w:color w:val="auto"/>
              </w:rPr>
            </w:pPr>
          </w:p>
        </w:tc>
        <w:tc>
          <w:tcPr>
            <w:tcW w:w="1140" w:type="dxa"/>
            <w:vAlign w:val="bottom"/>
            <w:tcBorders>
              <w:bottom w:val="single" w:sz="8" w:color="EAF9E8"/>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40" w:type="dxa"/>
            <w:vAlign w:val="bottom"/>
            <w:tcBorders>
              <w:bottom w:val="single" w:sz="8" w:color="EAF9E8"/>
            </w:tcBorders>
          </w:tcPr>
          <w:p>
            <w:pPr>
              <w:spacing w:after="0"/>
              <w:rPr>
                <w:sz w:val="5"/>
                <w:szCs w:val="5"/>
                <w:color w:val="auto"/>
              </w:rPr>
            </w:pPr>
          </w:p>
        </w:tc>
        <w:tc>
          <w:tcPr>
            <w:tcW w:w="1140" w:type="dxa"/>
            <w:vAlign w:val="bottom"/>
            <w:tcBorders>
              <w:bottom w:val="single" w:sz="8" w:color="EAF9E8"/>
            </w:tcBorders>
          </w:tcPr>
          <w:p>
            <w:pPr>
              <w:spacing w:after="0"/>
              <w:rPr>
                <w:sz w:val="5"/>
                <w:szCs w:val="5"/>
                <w:color w:val="auto"/>
              </w:rPr>
            </w:pPr>
          </w:p>
        </w:tc>
      </w:tr>
    </w:tbl>
    <w:p>
      <w:pPr>
        <w:sectPr>
          <w:pgSz w:w="11900" w:h="16900" w:orient="portrait"/>
          <w:cols w:equalWidth="0" w:num="1">
            <w:col w:w="11420"/>
          </w:cols>
          <w:pgMar w:left="240" w:top="333"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6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420" w:type="dxa"/>
            <w:vAlign w:val="bottom"/>
            <w:shd w:val="clear" w:color="auto" w:fill="EAF9E8"/>
          </w:tcPr>
          <w:p>
            <w:pPr>
              <w:spacing w:after="0"/>
              <w:rPr>
                <w:sz w:val="21"/>
                <w:szCs w:val="21"/>
                <w:color w:val="auto"/>
              </w:rPr>
            </w:pPr>
          </w:p>
        </w:tc>
        <w:tc>
          <w:tcPr>
            <w:tcW w:w="106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02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1,176</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1,467</w:t>
            </w:r>
          </w:p>
        </w:tc>
      </w:tr>
      <w:tr>
        <w:trPr>
          <w:trHeight w:val="27"/>
        </w:trPr>
        <w:tc>
          <w:tcPr>
            <w:tcW w:w="836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42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(633,758)</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294,004</w:t>
            </w:r>
          </w:p>
        </w:tc>
      </w:tr>
      <w:tr>
        <w:trPr>
          <w:trHeight w:val="318"/>
        </w:trPr>
        <w:tc>
          <w:tcPr>
            <w:tcW w:w="83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Net increase in cash</w:t>
            </w: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329,201</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120,651</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129,473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178,512</w:t>
            </w:r>
          </w:p>
        </w:tc>
      </w:tr>
      <w:tr>
        <w:trPr>
          <w:trHeight w:val="27"/>
        </w:trPr>
        <w:tc>
          <w:tcPr>
            <w:tcW w:w="8360" w:type="dxa"/>
            <w:vAlign w:val="bottom"/>
            <w:tcBorders>
              <w:bottom w:val="single" w:sz="8" w:color="EAF9E8"/>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Cash at end of period</w:t>
            </w:r>
          </w:p>
        </w:tc>
        <w:tc>
          <w:tcPr>
            <w:tcW w:w="420" w:type="dxa"/>
            <w:vAlign w:val="bottom"/>
            <w:tcBorders>
              <w:bottom w:val="single" w:sz="8" w:color="auto"/>
            </w:tcBorders>
            <w:shd w:val="clear" w:color="auto" w:fill="EAF9E8"/>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458,674</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299,163</w:t>
            </w:r>
          </w:p>
        </w:tc>
      </w:tr>
      <w:tr>
        <w:trPr>
          <w:trHeight w:val="20"/>
        </w:trPr>
        <w:tc>
          <w:tcPr>
            <w:tcW w:w="8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42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Transfer of loans held for sale to loans held for investment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2015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Ocwen Financial Corporation (NYSE: OCN) (Ocwen, we, us and our) is a financial services holding company which, through its subsidiaries, is engaged in the servicing and origination of mortgage loans. Effective October 1, 2015, Ocwen designated its office in West Palm Beach, Florida as corporate headquarters. Previously our office in Atlanta, Georgia was designated as headquarters. We have offices located throughout the United States (U.S.) and in the United States Virgin Islands (USVI) with support operations in India and the Philippines. Ocwen is a Florida corporation organized in February 1988.</w:t>
      </w:r>
    </w:p>
    <w:p>
      <w:pPr>
        <w:spacing w:after="0" w:line="18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Homeward Residential, Inc. (Homeward), and Liberty Home Equity Solutions, Inc. (Liberty).</w:t>
      </w:r>
    </w:p>
    <w:p>
      <w:pPr>
        <w:spacing w:after="0" w:line="68" w:lineRule="exact"/>
        <w:rPr>
          <w:sz w:val="20"/>
          <w:szCs w:val="20"/>
          <w:color w:val="auto"/>
        </w:rPr>
      </w:pPr>
    </w:p>
    <w:p>
      <w:pPr>
        <w:ind w:right="540" w:firstLine="324"/>
        <w:spacing w:after="0" w:line="276" w:lineRule="auto"/>
        <w:rPr>
          <w:sz w:val="20"/>
          <w:szCs w:val="20"/>
          <w:color w:val="auto"/>
        </w:rPr>
      </w:pPr>
      <w:r>
        <w:rPr>
          <w:rFonts w:ascii="Times New Roman" w:cs="Times New Roman" w:eastAsia="Times New Roman" w:hAnsi="Times New Roman"/>
          <w:sz w:val="17"/>
          <w:szCs w:val="17"/>
          <w:color w:val="auto"/>
        </w:rPr>
        <w:t>We perform primary and master servicer activities on behalf of investors and other servicers, including the Federal National Mortgage Association (Fannie Mae) and Federal Home Loan Mortgage Corporation (Freddie Mac) (collectively, the GSEs), the Government National Mortgage Association</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(Ginnie Mae) and private-label securitizations (non-Agency). As primary servicer, we may be required to make certain payments of property taxes and insurance premiums, default and property maintenance payments, as well as advances of principal and interest payments before collecting them from borrowers.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7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originate, purchase, sell and securitize conventional (conforming to the underwriting standards of Fannie Mae or Freddie Mac; collectively referred to as Agency loans) and government insured (Federal Housing Authority (FHA) or Department of Veterans Affairs (VA)) forward and reverse mortgages. The GSEs or Ginnie Mae guarantee these mortgage securitizations.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1A — Business Environment</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business has been facing certain challenges and uncertainties, including with respect to the potential impact on us of any regulatory actions against us, downgrades in our third-party servicer ratings or any failure to maintain sufficient liquidity or comply with the covenants in our debt agreements.</w:t>
      </w:r>
    </w:p>
    <w:p>
      <w:pPr>
        <w:spacing w:after="0" w:line="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believe that we have made significant progress over the course of 2015 addressing the challenges and uncertainties that our business has been facing. We have largely completed executing on our strategic plan to sell a significant portion of our Agency MSRs, completing sales of approximately $89 billion unpaid principal balance (UPB) of Agency MSRs from which we expect to receive proceeds of approximately $642 million, subject in each case to necessary approvals and the satisfaction of closing conditions. The majority of proceeds received to date have been used to make $561.6 million of prepayments under our Senior Secured Term Loan (SSTL), which has significantly reduced our leverage.</w:t>
      </w:r>
    </w:p>
    <w:p>
      <w:pPr>
        <w:spacing w:after="0" w:line="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During 2015, we have successfully renewed, refinanced, replaced or extended all of our servicing advance facilities and mortgage loan warehouse facilities prior to their scheduled maturity dates to the extent we have deemed necessary to maintain adequate liquidity. On September 18, 2015, we refinanced an existing $1.8 billion servicing advance facility. The amortization date was extended to September 2016 and the maximum borrowing capacity was reduced to $1.7 billion.</w:t>
      </w:r>
    </w:p>
    <w:p>
      <w:pPr>
        <w:spacing w:after="0" w:line="7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October 16, 2015, we entered into an amendment to the SSTL facility agreement. Effective as of October 20, 2015, the amendment, among other things (1) removed, until the quarter ending June 30, 2017, the interest coverage and corporate leverage ratio financial covenants; (2) expanded our ability to exclude certain assets from the collateral securing the SSTL to the extent necessary to meet regulatory minimum net worth requirements; (3) increased our ability to make certain permitted investments; and (4) established a requirement that we use 100.0% of the net cash proceeds from future asset sales permitted under the general asset sale basket to prepay the SSTL.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 - Basis of Presentation</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conformity with the instructions of the Securities and Exchange Commission (SEC) to Form 10-Q and SEC Regulation S-X, Article 10, Rule 10-01 for interim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684" w:right="239" w:bottom="1440" w:gutter="0" w:footer="0" w:header="0"/>
        </w:sectPr>
      </w:pPr>
    </w:p>
    <w:bookmarkStart w:id="11" w:name="page12"/>
    <w:bookmarkEnd w:id="11"/>
    <w:p>
      <w:pPr>
        <w:ind w:right="100"/>
        <w:spacing w:after="0" w:line="256" w:lineRule="auto"/>
        <w:rPr>
          <w:sz w:val="20"/>
          <w:szCs w:val="20"/>
          <w:color w:val="auto"/>
        </w:rPr>
      </w:pPr>
      <w:r>
        <w:rPr>
          <w:rFonts w:ascii="Times New Roman" w:cs="Times New Roman" w:eastAsia="Times New Roman" w:hAnsi="Times New Roman"/>
          <w:sz w:val="18"/>
          <w:szCs w:val="18"/>
          <w:color w:val="auto"/>
        </w:rPr>
        <w:t>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nine months ended September 30, 2015 are not necessarily indicative of the results that may be expected for any other interim period or for the year ending December 31, 2015. The unaudited consolidated financial statements presented herein should be read in conjunction with the audited consolidated financial statements and related notes thereto included in our Annual Report on Form 10-K for the year ended December 31, 2014.</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Within the Other income (expense) section of the Unaudited Consolidated Statements of Operations for the three and nine months ended September 30, 2014, we reclassified Interest income from Other, net to a separate line item to conform to the current year presentation.</w:t>
      </w:r>
    </w:p>
    <w:p>
      <w:pPr>
        <w:spacing w:after="0" w:line="54"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Certain insignificant amounts in the Unaudited Consolidated Statements of Cash Flows for the nine months ended September 30, 2014 have been reclassified to conform to the current year presentation. These reclassifications had no impact on our consolidated cash flows from operating, investing or financing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and Assumptions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that management make estimates and assumptions that affect the reported amounts of assets and liabilities at the date of the financial statements, the reported amounts of revenues and expenses during the reporting period and the related disclosures in the accompanying notes. Such estimates and assumptions include, but are not limited to, those that relate to fair value measurements, the provision for potential losses that may arise from litigation proceedings, and representation and warranty and other indemnification obligations. In developing estimates and assumptions, management uses all available information; however, actual results could materially differ from those estimates and assumptions.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E1F"/>
        </w:rPr>
        <w:t>Income Taxes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21E1F"/>
        </w:rPr>
        <w:t>In accordance with Financial Accounting Standards Board (FASB) Accounting Standards Codification (ASC) 270, Interim Financial Reporting, and ASC 740-270, Income Taxes — Interim Reporting, at the end of each interim period, we are required to determine the best estimate of our annual effective tax rate and then apply that rate to “ordinary” income or loss (pre-tax income or loss excluding unusual or infrequently occurring discrete items) in providing for income taxes on an interim period. However, in certain circumstances where we are unable to make a reliable estimate of the annual effective tax rate, ASC 740-270 allows the actual effective tax rate for the interim period to be used in the interim period. For the three months ended September 30, 2015, we calculated an estimate of our annual effective rate for the year and applied that rate to our pre-tax “ordinary” income or loss for the nine months ended September 30,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Combinations: Pushdown Accounting - Amendments to SEC Paragraphs Pursuant to Staff Accounting Bulletin No. 115 (ASU 2015-08)</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May 2015, the FASB issued Accounting Standards Update (ASU) 2015-08, which removes references to the SEC’s Staff Accounting Bulletin (SAB) Topic 5.J on pushdown accounting from ASC 805-50, thereby conforming the FASB’s guidance on pushdown accounting with the SEC’s guidance on this topic. The SEC’s issuance of SAB No. 115 had superseded the guidance in SAB Topic 5.J in connection with the FASB’s November 2014 release of ASU 2014-17. ASU 2015-08 became effective for us upon issuance.</w:t>
      </w:r>
    </w:p>
    <w:p>
      <w:pPr>
        <w:spacing w:after="0" w:line="180" w:lineRule="exact"/>
        <w:rPr>
          <w:sz w:val="20"/>
          <w:szCs w:val="20"/>
          <w:color w:val="auto"/>
        </w:rPr>
      </w:pPr>
    </w:p>
    <w:p>
      <w:pPr>
        <w:ind w:left="340" w:right="780"/>
        <w:spacing w:after="0" w:line="375" w:lineRule="auto"/>
        <w:rPr>
          <w:sz w:val="20"/>
          <w:szCs w:val="20"/>
          <w:color w:val="auto"/>
        </w:rPr>
      </w:pPr>
      <w:r>
        <w:rPr>
          <w:rFonts w:ascii="Times New Roman" w:cs="Times New Roman" w:eastAsia="Times New Roman" w:hAnsi="Times New Roman"/>
          <w:sz w:val="18"/>
          <w:szCs w:val="18"/>
          <w:color w:val="auto"/>
        </w:rPr>
        <w:t xml:space="preserve">Our adoption of ASU 2015-08 on May 11, 2015 did not have a material impact on our consolidated financial condition or results of operations. </w:t>
      </w:r>
      <w:r>
        <w:rPr>
          <w:rFonts w:ascii="Times New Roman" w:cs="Times New Roman" w:eastAsia="Times New Roman" w:hAnsi="Times New Roman"/>
          <w:sz w:val="18"/>
          <w:szCs w:val="18"/>
          <w:b w:val="1"/>
          <w:bCs w:val="1"/>
          <w:color w:val="auto"/>
        </w:rPr>
        <w:t>Revenue from Contracts with Customers: Deferral of the Effective Date (ASU 2015-14)</w:t>
      </w:r>
    </w:p>
    <w:p>
      <w:pPr>
        <w:spacing w:after="0" w:line="1"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In August 2015, the FASB issued Accounting Standards Update (ASU) 2015-14, which defers the effective date of ASU 2014-09, “Revenue from Contracts with Customers”, by one year. In May 2014, the FASB issued ASU 2014-09 to clarify the principles for recognizing revenue and to develop a common revenue standard.</w:t>
      </w:r>
    </w:p>
    <w:p>
      <w:pPr>
        <w:spacing w:after="0" w:line="6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issuance of ASU 2015-14, ASU 2014-09 will now be effective for us on January 1, 2018, with early application permitted as of the annual reporting period beginning on January 1, 2017, including interim reporting periods within that reporting period. We are currently evaluating the effect of adopting this standard.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88" w:right="239" w:bottom="1440" w:gutter="0" w:footer="0" w:header="0"/>
        </w:sectPr>
      </w:pPr>
    </w:p>
    <w:bookmarkStart w:id="12" w:name="page13"/>
    <w:bookmarkEnd w:id="12"/>
    <w:p>
      <w:pPr>
        <w:ind w:left="340" w:right="940"/>
        <w:spacing w:after="0" w:line="317" w:lineRule="auto"/>
        <w:rPr>
          <w:sz w:val="20"/>
          <w:szCs w:val="20"/>
          <w:color w:val="auto"/>
        </w:rPr>
      </w:pPr>
      <w:r>
        <w:rPr>
          <w:rFonts w:ascii="Times New Roman" w:cs="Times New Roman" w:eastAsia="Times New Roman" w:hAnsi="Times New Roman"/>
          <w:sz w:val="17"/>
          <w:szCs w:val="17"/>
          <w:b w:val="1"/>
          <w:bCs w:val="1"/>
          <w:color w:val="auto"/>
        </w:rPr>
        <w:t>Interest -- Imputation of Interest: Presentation and Subsequent Measurement of Debt Issuance Costs Associated with Line-of-Credit Arrangements -- Amendments to SEC Paragraphs Pursuant to Staff Announcement at June 18, 2015 EITF Meeting (ASU 2015-15)</w:t>
      </w:r>
    </w:p>
    <w:p>
      <w:pPr>
        <w:spacing w:after="0" w:line="2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August 2015, the FASB issued Accounting Standards Update (ASU) 2015-15, which clarifies ASU 2015-03, “Interest -- Imputation of Interest: Simplifying the Presentation of Debt Issuance Costs”, by providing guidance regarding the presentation and subsequent measurement of debt issuance costs related to line-of-credit arrangements. Given the absence of authoritative guidance on this matter,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that line-of-credit arrangement.</w:t>
      </w:r>
    </w:p>
    <w:p>
      <w:pPr>
        <w:spacing w:after="0" w:line="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issuance of ASU 2015-15 does not change the effective date of ASU 2015-03. ASU 2015-03 will be effective for us on January 1, 2016, with early adoption permitted for financial statements that have not been previously issued. We are currently evaluating the effect of adopting this standard.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Securitizations and Variable Interest Entities</w:t>
      </w:r>
    </w:p>
    <w:p>
      <w:pPr>
        <w:spacing w:after="0" w:line="12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two groups: (1) securitizations of residential mortgage loans and (2) financings of advances on loans serviced for others.</w:t>
      </w:r>
    </w:p>
    <w:p>
      <w:pPr>
        <w:spacing w:after="0" w:line="6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Securitizations of Residential Mortgage Loans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Currently, we securitize forward and reverse residential mortgage loans involving the GSEs and Ginnie Mae and loans insured by the FHA or VA. We retain the right to service these loans and receive servicing fees based upon the securitized loan balances and certain ancillary fees, all of which are reported in Servicing and subservicing fees in the Unaudited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Forward Loans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sell or securitize forward loans that we originate or that we purchase from third parties, generally in the form of mortgage-backed securities guaranteed by the GSEs or Ginnie Mae. Securitization usually occurs within 30 days of loan closing or purchase. We retain the servicing rights associated with the transferred loans and receive a servicing fee for services provided. We act only as a fiduciary and do not have a variable interest in the securitization trusts. As a result, we account for these transactions as sales upon transfer.</w:t>
      </w:r>
    </w:p>
    <w:p>
      <w:pPr>
        <w:spacing w:after="0" w:line="7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report the gain or loss on the transfer of the loans held for sale in Gain on loans held for sale, net in the Unaudited Consolidated Statements of Operations along with the changes in fair value of the loans and the gain or loss on any related derivatives. We include all changes in loans held for sale and related derivative balances in operating activities in the Unaudited Consolidated Statements of Cash Flows.</w:t>
      </w:r>
    </w:p>
    <w:p>
      <w:pPr>
        <w:spacing w:after="0" w:line="6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cash flows received from and paid to securitization trusts related to transfers accounted for as sales that were outstanding during the three and nine months ended September 30: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Proceeds received from securitizations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1,478,142</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1,369,468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3,964,866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4,346,991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Servicing fees collected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25,174</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Purchases of previously transferred assets, net of claims reimbursed</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2,237</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1,485,627</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1,382,545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3,992,340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4,374,402</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these transfers, we retained MSRs of $9.5 million and $27.8 million during the three and nine months ended September 30, 2015, respectively, and $10.7 million and $32.1 million during the three and nine months ended September 30, 2014, respectively. We initially record the MSRs at fair value and subsequently account for them at amortized cost.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84" w:right="239" w:bottom="1440" w:gutter="0" w:footer="0" w:header="0"/>
        </w:sectPr>
      </w:pPr>
    </w:p>
    <w:bookmarkStart w:id="13" w:name="page14"/>
    <w:bookmarkEnd w:id="13"/>
    <w:p>
      <w:pPr>
        <w:ind w:right="340" w:firstLine="324"/>
        <w:spacing w:after="0" w:line="313" w:lineRule="auto"/>
        <w:rPr>
          <w:sz w:val="20"/>
          <w:szCs w:val="20"/>
          <w:color w:val="auto"/>
        </w:rPr>
      </w:pPr>
      <w:r>
        <w:rPr>
          <w:rFonts w:ascii="Times New Roman" w:cs="Times New Roman" w:eastAsia="Times New Roman" w:hAnsi="Times New Roman"/>
          <w:sz w:val="17"/>
          <w:szCs w:val="17"/>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3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amounts of our assets that relate to our continuing involvement with forward loans that we have transferred with servicing rights retained as well as our maximum exposure to loss including the UPB of the transferred loans at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Carrying value of assets: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servicing rights, at amortized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82,542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Mortgage servicing rights,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2,840</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and match funded advances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UPB of loans transferred (1)</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6,811,864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9,353,187</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Maximum exposure to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6,878,840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9,439,805</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UPB of the loans transferred is the maximum exposure to loss under our standard representations and warranties obligations.</w:t>
      </w:r>
    </w:p>
    <w:p>
      <w:pPr>
        <w:spacing w:after="0" w:line="117" w:lineRule="exact"/>
        <w:rPr>
          <w:sz w:val="20"/>
          <w:szCs w:val="20"/>
          <w:color w:val="auto"/>
        </w:rPr>
      </w:pPr>
    </w:p>
    <w:p>
      <w:pPr>
        <w:jc w:val="both"/>
        <w:ind w:right="220" w:firstLine="324"/>
        <w:spacing w:after="0" w:line="282" w:lineRule="auto"/>
        <w:rPr>
          <w:sz w:val="20"/>
          <w:szCs w:val="20"/>
          <w:color w:val="auto"/>
        </w:rPr>
      </w:pPr>
      <w:r>
        <w:rPr>
          <w:rFonts w:ascii="Times New Roman" w:cs="Times New Roman" w:eastAsia="Times New Roman" w:hAnsi="Times New Roman"/>
          <w:sz w:val="18"/>
          <w:szCs w:val="18"/>
          <w:color w:val="auto"/>
        </w:rPr>
        <w:t>At September 30, 2015 and December 31, 2014, 8.1% and 5.1%, respectively, of the transferred residential loans that we service were 60 days or more past due. During the three and nine months ended September 30, 2015, there were no charge-offs, net of recoveries, associated with these transferred loans.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Reverse Mortgages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an approved issuer of Ginnie Mae Home Equity Conversion Mortgage-Backed Securities (HMBS) that are guaranteed by Ginnie Mae. We originate Home Equity Conversion Mortgages (HECMs, or reverse mortgages) that are insured by the FHA. We then pool the loans into HMBS that we sell into the secondary market with servicing rights retained.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HECMs do not qualify for sale accounting, and therefore, we account for these transfers as financings. Under this accounting treatment, the HECMs are classified as Loans held for investment - reverse mortgages, at fair value, on our Unaudited Consolidated Balance Sheets. We record the proceeds from the transfer of assets as secured borrowings (HMBS-related borrowings) in Financing liabilities and recognize no gain or loss on the transfer. Holders of participating interests in the HMBS have no recourse against the assets of Ocwen, except for standard representations and warranties and our contractual obligation to service the HECMs and the HMBS.</w:t>
      </w:r>
    </w:p>
    <w:p>
      <w:pPr>
        <w:spacing w:after="0" w:line="8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elected to measure the HECMs and HMBS-related borrowings at fair value. The changes in fair value of the HECMs and HMBS-related borrowings are included in Other revenues in our Unaudited Consolidated Statements of Operations. Included in net fair value gains on the HECMs and related HMBS borrowings are the interest income that we expect to be collected on the HECMs and the interest expense that we expect to be paid on the HMBS-related borrowings. We report originations and collections of HECMs in investing activities in the Unaudited Consolidated Statements of Cash Flows. We report net fair value gains on HECMs and the related HMBS borrowings as an adjustment to the net cash provided by or used in operating activities in the Unaudited Consolidated Statements of Cash Flows. Proceeds from securitizations of HECMs and payments on HMBS-related borrowings are included in financing activities in the Unaudited Consolidated Statements of Cash Flows.</w:t>
      </w:r>
    </w:p>
    <w:p>
      <w:pPr>
        <w:spacing w:after="0" w:line="8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At September 30, 2015 and December 31, 2014, we had HMBS-related borrowings of $2.2 billion and $1.4 billion and HECMs pledged as collateral to the pools of $2.3 billion and $1.6 billion,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 of Advances on Loans Serviced for Others</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Match funded advances on loans serviced for others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6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make the transfers to these SPEs under the terms of our advance financing facility agreements. We classify the transferred advances on our Unaudited Consolidated Balance Sheets as Match funded advances and the related liabilities as Match funded liabilities. The SPEs use collections of the pledged advances to repay principal and interest and to pay the expenses of the SPE. Holders of the debt issued by these entities can look only to the assets of the SPE for satisfaction of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88" w:right="239" w:bottom="1440" w:gutter="0" w:footer="0" w:header="0"/>
        </w:sectPr>
      </w:pPr>
    </w:p>
    <w:bookmarkStart w:id="14" w:name="page15"/>
    <w:bookmarkEnd w:id="14"/>
    <w:p>
      <w:pPr>
        <w:ind w:right="260"/>
        <w:spacing w:after="0" w:line="266" w:lineRule="auto"/>
        <w:rPr>
          <w:sz w:val="20"/>
          <w:szCs w:val="20"/>
          <w:color w:val="auto"/>
        </w:rPr>
      </w:pPr>
      <w:r>
        <w:rPr>
          <w:rFonts w:ascii="Times New Roman" w:cs="Times New Roman" w:eastAsia="Times New Roman" w:hAnsi="Times New Roman"/>
          <w:sz w:val="18"/>
          <w:szCs w:val="18"/>
          <w:color w:val="auto"/>
        </w:rPr>
        <w:t>debt, and the debt is not recourse to Ocwen.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6"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1:</w:t>
        <w:tab/>
        <w:t>Quoted prices (unadjusted) in active markets for identical assets or liabilities that the reporting entity can access at the measurement date.</w:t>
      </w:r>
    </w:p>
    <w:p>
      <w:pPr>
        <w:spacing w:after="0" w:line="27"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for the asset or liability.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assets in their entirety based on the lowest level of input that is significant to the fair value measurement.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688" w:right="259" w:bottom="1440" w:gutter="0" w:footer="0" w:header="0"/>
        </w:sectPr>
      </w:pPr>
    </w:p>
    <w:bookmarkStart w:id="15" w:name="page16"/>
    <w:bookmarkEnd w:id="15"/>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 at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sale:</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Loans held for sale,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235,909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235,909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401,120</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held for sale, at lower of cost or fair value (b)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291,063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291,063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87,492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Total Loans held for sale</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526,972</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526,972</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488,612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488,612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investment - Reverse mortgages, at fair value (a)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2,319,515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2,319,515</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1,550,141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1,550,141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Advances and match funded advances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2,472,996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2,472,996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3,303,356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3,303,356</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Receivables, net (c)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361,572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270,596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Mortgage-backed securities,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8,541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7,335</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Match funded liabilities (c)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1,589,846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1,589,901</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2,090,247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2,090,247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Financing liabilities:</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HMBS-related borrowings, at fair value (a)</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2,229,604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2,229,604</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1,444,252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1,444,252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Financing liability - MSRs pledged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560,059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560,059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614,441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614,441</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163,855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189,648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Total Financing liabilities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2,953,518</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2,934,388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2,258,641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2,248,341</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Senior secured term loan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702,918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702,397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1,273,219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1,198,227</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298,152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298,152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460,472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Total Other secured borrowings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1,001,070</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1,000,549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1,733,691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1,658,699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Senior unsecured notes (c)</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321,563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321,563</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 assets (liabilities) (a):</w:t>
            </w: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Lock Commitments (IRLCs)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Forward MBS trades</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rate caps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1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9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MSRs, at fair value (a)</w:t>
            </w:r>
          </w:p>
        </w:tc>
        <w:tc>
          <w:tcPr>
            <w:tcW w:w="92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787,344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787,344</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93,901</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MSRs, at amortized cost (c) (d)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365,951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404,533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1,820,091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2,237,703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EAF9E8"/>
            </w:tcBorders>
          </w:tcPr>
          <w:p>
            <w:pPr>
              <w:spacing w:after="0"/>
              <w:rPr>
                <w:sz w:val="2"/>
                <w:szCs w:val="2"/>
                <w:color w:val="auto"/>
              </w:rPr>
            </w:pPr>
          </w:p>
        </w:tc>
        <w:tc>
          <w:tcPr>
            <w:tcW w:w="9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Total MSRs</w:t>
            </w:r>
          </w:p>
        </w:tc>
        <w:tc>
          <w:tcPr>
            <w:tcW w:w="9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1,153,295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1,191,877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1,913,992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2,331,604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at fair value on a recurring basis.</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at fair value on a non-recurring basis.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but not carried, at fair value.</w:t>
      </w:r>
    </w:p>
    <w:p>
      <w:pPr>
        <w:spacing w:after="0" w:line="9" w:lineRule="exact"/>
        <w:rPr>
          <w:rFonts w:ascii="Times New Roman" w:cs="Times New Roman" w:eastAsia="Times New Roman" w:hAnsi="Times New Roman"/>
          <w:sz w:val="18"/>
          <w:szCs w:val="18"/>
          <w:color w:val="auto"/>
        </w:rPr>
      </w:pPr>
    </w:p>
    <w:p>
      <w:pPr>
        <w:jc w:val="both"/>
        <w:ind w:left="500" w:right="120" w:hanging="492"/>
        <w:spacing w:after="0" w:line="261"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at September 30, 2015 includes our impaired government-insured stratum of amortization method MSRs, which is measured at fair value on a non-recurring basis. The carrying value of this stratum at September 30, 2015 was $144.2 million, net of a valuation allowance of $25.1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88" w:right="239" w:bottom="1440" w:gutter="0" w:footer="0" w:header="0"/>
        </w:sectPr>
      </w:pPr>
    </w:p>
    <w:bookmarkStart w:id="16" w:name="page17"/>
    <w:bookmarkEnd w:id="16"/>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the changes in fair value of Level 3 assets and liabilities that we measure at fair value on a recurring basis for the three and nine months ended September 30, 2015 and 2014.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Reverse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120" w:type="dxa"/>
            <w:vAlign w:val="bottom"/>
            <w:gridSpan w:val="3"/>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252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30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30, 2015</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2,097,192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(1,987,998)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(581,219)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814,450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350,737</w:t>
            </w:r>
          </w:p>
        </w:tc>
      </w:tr>
      <w:tr>
        <w:trPr>
          <w:trHeight w:val="225"/>
        </w:trPr>
        <w:tc>
          <w:tcPr>
            <w:tcW w:w="2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Purchases, issuances, sales and</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250,600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(20,468)</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23,303</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209,018</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(227,343)</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21,160</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2,590</w:t>
            </w:r>
          </w:p>
        </w:tc>
      </w:tr>
      <w:tr>
        <w:trPr>
          <w:trHeight w:val="205"/>
        </w:trPr>
        <w:tc>
          <w:tcPr>
            <w:tcW w:w="252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realized and unrealized</w:t>
            </w: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34"/>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gains and (losses):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13,305</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(26,089)</w:t>
            </w:r>
          </w:p>
        </w:tc>
      </w:tr>
      <w:tr>
        <w:trPr>
          <w:trHeight w:val="225"/>
        </w:trPr>
        <w:tc>
          <w:tcPr>
            <w:tcW w:w="40" w:type="dxa"/>
            <w:vAlign w:val="bottom"/>
          </w:tcPr>
          <w:p>
            <w:pPr>
              <w:spacing w:after="0"/>
              <w:rPr>
                <w:sz w:val="19"/>
                <w:szCs w:val="19"/>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Included in Other</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2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13,305</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(26,089)</w:t>
            </w:r>
          </w:p>
        </w:tc>
      </w:tr>
      <w:tr>
        <w:trPr>
          <w:trHeight w:val="205"/>
        </w:trPr>
        <w:tc>
          <w:tcPr>
            <w:tcW w:w="252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Transfers in and / or out of Level</w:t>
            </w: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34"/>
        </w:trPr>
        <w:tc>
          <w:tcPr>
            <w:tcW w:w="2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2,319,515</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(2,229,604)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(560,059)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787,344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327,238</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43"/>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Reverse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120" w:type="dxa"/>
            <w:vAlign w:val="bottom"/>
            <w:gridSpan w:val="3"/>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83"/>
        </w:trPr>
        <w:tc>
          <w:tcPr>
            <w:tcW w:w="252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30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30, 2014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1,107,626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(1,033,712)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(629,579)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104,220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(443,846)</w:t>
            </w:r>
          </w:p>
        </w:tc>
      </w:tr>
      <w:tr>
        <w:trPr>
          <w:trHeight w:val="225"/>
        </w:trPr>
        <w:tc>
          <w:tcPr>
            <w:tcW w:w="2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Purchases, issuances, sales and</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208,566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18,114</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180,974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(177,762)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10,724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13,002</w:t>
            </w:r>
          </w:p>
        </w:tc>
      </w:tr>
      <w:tr>
        <w:trPr>
          <w:trHeight w:val="205"/>
        </w:trPr>
        <w:tc>
          <w:tcPr>
            <w:tcW w:w="252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realized and unrealized</w:t>
            </w: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34"/>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gains and (losses):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26,724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(24,620)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r>
      <w:tr>
        <w:trPr>
          <w:trHeight w:val="225"/>
        </w:trPr>
        <w:tc>
          <w:tcPr>
            <w:tcW w:w="40" w:type="dxa"/>
            <w:vAlign w:val="bottom"/>
          </w:tcPr>
          <w:p>
            <w:pPr>
              <w:spacing w:after="0"/>
              <w:rPr>
                <w:sz w:val="19"/>
                <w:szCs w:val="19"/>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Included in Other</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2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26,724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(24,620)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r>
      <w:tr>
        <w:trPr>
          <w:trHeight w:val="205"/>
        </w:trPr>
        <w:tc>
          <w:tcPr>
            <w:tcW w:w="252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Transfers in and / or out of Level</w:t>
            </w: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34"/>
        </w:trPr>
        <w:tc>
          <w:tcPr>
            <w:tcW w:w="2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52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1,315,324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(1,236,094)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(618,855)</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101,948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(430,208)</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Reverse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378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Nine months ended September 30, 2015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24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1,550,141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(1,444,252)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(614,441)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(406,749)</w:t>
            </w:r>
          </w:p>
        </w:tc>
      </w:tr>
      <w:tr>
        <w:trPr>
          <w:trHeight w:val="225"/>
        </w:trPr>
        <w:tc>
          <w:tcPr>
            <w:tcW w:w="4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Purchases, issuances, sales and</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2,201</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781,002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(24,061)</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40" w:type="dxa"/>
            <w:vAlign w:val="bottom"/>
            <w:shd w:val="clear" w:color="auto" w:fill="EAF9E8"/>
          </w:tcPr>
          <w:p>
            <w:pPr>
              <w:spacing w:after="0"/>
              <w:rPr>
                <w:sz w:val="19"/>
                <w:szCs w:val="19"/>
                <w:color w:val="auto"/>
              </w:rPr>
            </w:pPr>
          </w:p>
        </w:tc>
        <w:tc>
          <w:tcPr>
            <w:tcW w:w="2480" w:type="dxa"/>
            <w:vAlign w:val="bottom"/>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Transfer from MSRs carried at</w:t>
            </w:r>
          </w:p>
        </w:tc>
        <w:tc>
          <w:tcPr>
            <w:tcW w:w="1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41"/>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400"/>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tcBorders>
              <w:bottom w:val="single" w:sz="8" w:color="EAF9E8"/>
            </w:tcBorders>
            <w:shd w:val="clear" w:color="auto" w:fill="EAF9E8"/>
          </w:tcPr>
          <w:p>
            <w:pPr>
              <w:spacing w:after="0"/>
              <w:rPr>
                <w:sz w:val="20"/>
                <w:szCs w:val="20"/>
                <w:color w:val="auto"/>
              </w:rPr>
            </w:pPr>
          </w:p>
        </w:tc>
        <w:tc>
          <w:tcPr>
            <w:tcW w:w="400" w:type="dxa"/>
            <w:vAlign w:val="bottom"/>
            <w:tcBorders>
              <w:bottom w:val="single" w:sz="8" w:color="EAF9E8"/>
            </w:tcBorders>
            <w:shd w:val="clear" w:color="auto" w:fill="EAF9E8"/>
          </w:tcPr>
          <w:p>
            <w:pPr>
              <w:spacing w:after="0"/>
              <w:rPr>
                <w:sz w:val="20"/>
                <w:szCs w:val="20"/>
                <w:color w:val="auto"/>
              </w:rPr>
            </w:pPr>
          </w:p>
        </w:tc>
        <w:tc>
          <w:tcPr>
            <w:tcW w:w="8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839,157</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839,157</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(71,318)</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Settlements (1)</w:t>
            </w:r>
          </w:p>
        </w:tc>
        <w:tc>
          <w:tcPr>
            <w:tcW w:w="1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(105,505)</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107,522</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54,382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56,745</w:t>
            </w:r>
          </w:p>
        </w:tc>
      </w:tr>
      <w:tr>
        <w:trPr>
          <w:trHeight w:val="237"/>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675,497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54,382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766,700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802,724</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40" w:type="dxa"/>
            <w:vAlign w:val="bottom"/>
            <w:shd w:val="clear" w:color="auto" w:fill="EAF9E8"/>
          </w:tcPr>
          <w:p>
            <w:pPr>
              <w:spacing w:after="0"/>
              <w:rPr>
                <w:sz w:val="17"/>
                <w:szCs w:val="17"/>
                <w:color w:val="auto"/>
              </w:rPr>
            </w:pPr>
          </w:p>
        </w:tc>
        <w:tc>
          <w:tcPr>
            <w:tcW w:w="2480" w:type="dxa"/>
            <w:vAlign w:val="bottom"/>
            <w:shd w:val="clear" w:color="auto" w:fill="EAF9E8"/>
          </w:tcPr>
          <w:p>
            <w:pPr>
              <w:spacing w:after="0" w:line="205" w:lineRule="exact"/>
              <w:rPr>
                <w:sz w:val="20"/>
                <w:szCs w:val="20"/>
                <w:color w:val="auto"/>
              </w:rPr>
            </w:pPr>
            <w:r>
              <w:rPr>
                <w:rFonts w:ascii="Times New Roman" w:cs="Times New Roman" w:eastAsia="Times New Roman" w:hAnsi="Times New Roman"/>
                <w:sz w:val="18"/>
                <w:szCs w:val="18"/>
                <w:color w:val="auto"/>
              </w:rPr>
              <w:t>Total realized and unrealized</w:t>
            </w:r>
          </w:p>
        </w:tc>
        <w:tc>
          <w:tcPr>
            <w:tcW w:w="140" w:type="dxa"/>
            <w:vAlign w:val="bottom"/>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41"/>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gains and (losses): (2)</w:t>
            </w:r>
          </w:p>
        </w:tc>
        <w:tc>
          <w:tcPr>
            <w:tcW w:w="140" w:type="dxa"/>
            <w:vAlign w:val="bottom"/>
            <w:tcBorders>
              <w:bottom w:val="single" w:sz="8" w:color="EAF9E8"/>
            </w:tcBorders>
            <w:shd w:val="clear" w:color="auto" w:fill="EAF9E8"/>
          </w:tcPr>
          <w:p>
            <w:pPr>
              <w:spacing w:after="0"/>
              <w:rPr>
                <w:sz w:val="20"/>
                <w:szCs w:val="20"/>
                <w:color w:val="auto"/>
              </w:rPr>
            </w:pPr>
          </w:p>
        </w:tc>
        <w:tc>
          <w:tcPr>
            <w:tcW w:w="40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Included in earnings</w:t>
            </w:r>
          </w:p>
        </w:tc>
        <w:tc>
          <w:tcPr>
            <w:tcW w:w="1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93,877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(68,737)</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40" w:type="dxa"/>
            <w:vAlign w:val="bottom"/>
            <w:shd w:val="clear" w:color="auto" w:fill="EAF9E8"/>
          </w:tcPr>
          <w:p>
            <w:pPr>
              <w:spacing w:after="0"/>
              <w:rPr>
                <w:sz w:val="19"/>
                <w:szCs w:val="19"/>
                <w:color w:val="auto"/>
              </w:rPr>
            </w:pPr>
          </w:p>
        </w:tc>
        <w:tc>
          <w:tcPr>
            <w:tcW w:w="2480" w:type="dxa"/>
            <w:vAlign w:val="bottom"/>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Included in Other</w:t>
            </w:r>
          </w:p>
        </w:tc>
        <w:tc>
          <w:tcPr>
            <w:tcW w:w="1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16"/>
        </w:trPr>
        <w:tc>
          <w:tcPr>
            <w:tcW w:w="40" w:type="dxa"/>
            <w:vAlign w:val="bottom"/>
            <w:shd w:val="clear" w:color="auto" w:fill="EAF9E8"/>
          </w:tcPr>
          <w:p>
            <w:pPr>
              <w:spacing w:after="0"/>
              <w:rPr>
                <w:sz w:val="18"/>
                <w:szCs w:val="18"/>
                <w:color w:val="auto"/>
              </w:rPr>
            </w:pPr>
          </w:p>
        </w:tc>
        <w:tc>
          <w:tcPr>
            <w:tcW w:w="2480" w:type="dxa"/>
            <w:vAlign w:val="bottom"/>
            <w:shd w:val="clear" w:color="auto" w:fill="EAF9E8"/>
          </w:tcPr>
          <w:p>
            <w:pPr>
              <w:ind w:left="40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r>
      <w:tr>
        <w:trPr>
          <w:trHeight w:val="261"/>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ind w:left="40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Borders>
              <w:bottom w:val="single" w:sz="8" w:color="EAF9E8"/>
            </w:tcBorders>
            <w:shd w:val="clear" w:color="auto" w:fill="EAF9E8"/>
          </w:tcPr>
          <w:p>
            <w:pPr>
              <w:spacing w:after="0"/>
              <w:rPr>
                <w:sz w:val="22"/>
                <w:szCs w:val="22"/>
                <w:color w:val="auto"/>
              </w:rPr>
            </w:pPr>
          </w:p>
        </w:tc>
        <w:tc>
          <w:tcPr>
            <w:tcW w:w="40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93,877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(68,737)</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40" w:type="dxa"/>
            <w:vAlign w:val="bottom"/>
            <w:shd w:val="clear" w:color="auto" w:fill="EAF9E8"/>
          </w:tcPr>
          <w:p>
            <w:pPr>
              <w:spacing w:after="0"/>
              <w:rPr>
                <w:sz w:val="17"/>
                <w:szCs w:val="17"/>
                <w:color w:val="auto"/>
              </w:rPr>
            </w:pPr>
          </w:p>
        </w:tc>
        <w:tc>
          <w:tcPr>
            <w:tcW w:w="2480" w:type="dxa"/>
            <w:vAlign w:val="bottom"/>
            <w:shd w:val="clear" w:color="auto" w:fill="EAF9E8"/>
          </w:tcPr>
          <w:p>
            <w:pPr>
              <w:spacing w:after="0" w:line="205" w:lineRule="exact"/>
              <w:rPr>
                <w:sz w:val="20"/>
                <w:szCs w:val="20"/>
                <w:color w:val="auto"/>
              </w:rPr>
            </w:pPr>
            <w:r>
              <w:rPr>
                <w:rFonts w:ascii="Times New Roman" w:cs="Times New Roman" w:eastAsia="Times New Roman" w:hAnsi="Times New Roman"/>
                <w:sz w:val="18"/>
                <w:szCs w:val="18"/>
                <w:color w:val="auto"/>
              </w:rPr>
              <w:t>Transfers in and / or out of Level</w:t>
            </w:r>
          </w:p>
        </w:tc>
        <w:tc>
          <w:tcPr>
            <w:tcW w:w="140" w:type="dxa"/>
            <w:vAlign w:val="bottom"/>
            <w:shd w:val="clear" w:color="auto" w:fill="EAF9E8"/>
          </w:tcPr>
          <w:p>
            <w:pPr>
              <w:spacing w:after="0"/>
              <w:rPr>
                <w:sz w:val="17"/>
                <w:szCs w:val="17"/>
                <w:color w:val="auto"/>
              </w:rPr>
            </w:pPr>
          </w:p>
        </w:tc>
        <w:tc>
          <w:tcPr>
            <w:tcW w:w="40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61"/>
        </w:trPr>
        <w:tc>
          <w:tcPr>
            <w:tcW w:w="252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EAF9E8"/>
            </w:tcBorders>
            <w:shd w:val="clear" w:color="auto" w:fill="EAF9E8"/>
          </w:tcPr>
          <w:p>
            <w:pPr>
              <w:spacing w:after="0"/>
              <w:rPr>
                <w:sz w:val="22"/>
                <w:szCs w:val="22"/>
                <w:color w:val="auto"/>
              </w:rPr>
            </w:pPr>
          </w:p>
        </w:tc>
        <w:tc>
          <w:tcPr>
            <w:tcW w:w="40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0" w:type="dxa"/>
            <w:vAlign w:val="bottom"/>
          </w:tcPr>
          <w:p>
            <w:pPr>
              <w:spacing w:after="0"/>
              <w:rPr>
                <w:sz w:val="22"/>
                <w:szCs w:val="22"/>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2,319,515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(2,229,604)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(560,059)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787,344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327,238</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43"/>
        </w:trPr>
        <w:tc>
          <w:tcPr>
            <w:tcW w:w="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Investment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Liability -</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Reverse</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HMBS-Related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backed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MSRs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Pledged</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MSRs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378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Nine months ended September 30, 2014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91"/>
        </w:trPr>
        <w:tc>
          <w:tcPr>
            <w:tcW w:w="40" w:type="dxa"/>
            <w:vAlign w:val="bottom"/>
          </w:tcPr>
          <w:p>
            <w:pPr>
              <w:spacing w:after="0"/>
              <w:rPr>
                <w:sz w:val="24"/>
                <w:szCs w:val="24"/>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spacing w:after="0"/>
              <w:rPr>
                <w:sz w:val="24"/>
                <w:szCs w:val="24"/>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618,018</w:t>
            </w: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(615,576)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(633,804)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116,029</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(514,891)</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40" w:type="dxa"/>
            <w:vAlign w:val="bottom"/>
            <w:shd w:val="clear" w:color="auto" w:fill="EAF9E8"/>
          </w:tcPr>
          <w:p>
            <w:pPr>
              <w:spacing w:after="0"/>
              <w:rPr>
                <w:sz w:val="19"/>
                <w:szCs w:val="19"/>
                <w:color w:val="auto"/>
              </w:rPr>
            </w:pPr>
          </w:p>
        </w:tc>
        <w:tc>
          <w:tcPr>
            <w:tcW w:w="2480" w:type="dxa"/>
            <w:vAlign w:val="bottom"/>
            <w:shd w:val="clear" w:color="auto" w:fill="EAF9E8"/>
          </w:tcPr>
          <w:p>
            <w:pPr>
              <w:spacing w:after="0"/>
              <w:rPr>
                <w:sz w:val="20"/>
                <w:szCs w:val="20"/>
                <w:color w:val="auto"/>
              </w:rPr>
            </w:pPr>
            <w:r>
              <w:rPr>
                <w:rFonts w:ascii="Times New Roman" w:cs="Times New Roman" w:eastAsia="Times New Roman" w:hAnsi="Times New Roman"/>
                <w:sz w:val="18"/>
                <w:szCs w:val="18"/>
                <w:color w:val="auto"/>
              </w:rPr>
              <w:t>Purchases, issuances, sales and</w:t>
            </w:r>
          </w:p>
        </w:tc>
        <w:tc>
          <w:tcPr>
            <w:tcW w:w="1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7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8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41"/>
        </w:trPr>
        <w:tc>
          <w:tcPr>
            <w:tcW w:w="40" w:type="dxa"/>
            <w:vAlign w:val="bottom"/>
            <w:tcBorders>
              <w:bottom w:val="single" w:sz="8" w:color="EAF9E8"/>
            </w:tcBorders>
            <w:shd w:val="clear" w:color="auto" w:fill="EAF9E8"/>
          </w:tcPr>
          <w:p>
            <w:pPr>
              <w:spacing w:after="0"/>
              <w:rPr>
                <w:sz w:val="20"/>
                <w:szCs w:val="20"/>
                <w:color w:val="auto"/>
              </w:rPr>
            </w:pPr>
          </w:p>
        </w:tc>
        <w:tc>
          <w:tcPr>
            <w:tcW w:w="2480" w:type="dxa"/>
            <w:vAlign w:val="bottom"/>
            <w:tcBorders>
              <w:bottom w:val="single" w:sz="8" w:color="EAF9E8"/>
            </w:tcBorders>
            <w:shd w:val="clear" w:color="auto" w:fill="EAF9E8"/>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Borders>
              <w:bottom w:val="single" w:sz="8" w:color="EAF9E8"/>
            </w:tcBorders>
            <w:shd w:val="clear" w:color="auto" w:fill="EAF9E8"/>
          </w:tcPr>
          <w:p>
            <w:pPr>
              <w:spacing w:after="0"/>
              <w:rPr>
                <w:sz w:val="20"/>
                <w:szCs w:val="20"/>
                <w:color w:val="auto"/>
              </w:rPr>
            </w:pPr>
          </w:p>
        </w:tc>
        <w:tc>
          <w:tcPr>
            <w:tcW w:w="400" w:type="dxa"/>
            <w:vAlign w:val="bottom"/>
            <w:tcBorders>
              <w:bottom w:val="single" w:sz="8" w:color="EAF9E8"/>
            </w:tcBorders>
            <w:shd w:val="clear" w:color="auto" w:fill="EAF9E8"/>
          </w:tcPr>
          <w:p>
            <w:pPr>
              <w:spacing w:after="0"/>
              <w:rPr>
                <w:sz w:val="20"/>
                <w:szCs w:val="20"/>
                <w:color w:val="auto"/>
              </w:rPr>
            </w:pPr>
          </w:p>
        </w:tc>
        <w:tc>
          <w:tcPr>
            <w:tcW w:w="7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8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7,700</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Issuances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565,670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(572,031)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(6,361)</w:t>
            </w:r>
          </w:p>
        </w:tc>
      </w:tr>
      <w:tr>
        <w:trPr>
          <w:trHeight w:val="225"/>
        </w:trPr>
        <w:tc>
          <w:tcPr>
            <w:tcW w:w="40" w:type="dxa"/>
            <w:vAlign w:val="bottom"/>
          </w:tcPr>
          <w:p>
            <w:pPr>
              <w:spacing w:after="0"/>
              <w:rPr>
                <w:sz w:val="19"/>
                <w:szCs w:val="19"/>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from loans held for</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2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sale, at fair value</w:t>
            </w:r>
          </w:p>
        </w:tc>
        <w:tc>
          <w:tcPr>
            <w:tcW w:w="14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110,874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110,874</w:t>
            </w: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(16,453)</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620,351</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(546,306)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14,949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95,760</w:t>
            </w:r>
          </w:p>
        </w:tc>
      </w:tr>
      <w:tr>
        <w:trPr>
          <w:trHeight w:val="205"/>
        </w:trPr>
        <w:tc>
          <w:tcPr>
            <w:tcW w:w="40" w:type="dxa"/>
            <w:vAlign w:val="bottom"/>
          </w:tcPr>
          <w:p>
            <w:pPr>
              <w:spacing w:after="0"/>
              <w:rPr>
                <w:sz w:val="17"/>
                <w:szCs w:val="17"/>
                <w:color w:val="auto"/>
              </w:rPr>
            </w:pPr>
          </w:p>
        </w:tc>
        <w:tc>
          <w:tcPr>
            <w:tcW w:w="2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realized and unrealized</w:t>
            </w: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34"/>
        </w:trPr>
        <w:tc>
          <w:tcPr>
            <w:tcW w:w="4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gains and (losses):</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2480" w:type="dxa"/>
            <w:vAlign w:val="bottom"/>
            <w:tcBorders>
              <w:bottom w:val="single" w:sz="8" w:color="EAF9E8"/>
            </w:tcBorders>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Included in earnings</w:t>
            </w:r>
          </w:p>
        </w:tc>
        <w:tc>
          <w:tcPr>
            <w:tcW w:w="1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76,955</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(74,212)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(11,077)</w:t>
            </w:r>
          </w:p>
        </w:tc>
      </w:tr>
      <w:tr>
        <w:trPr>
          <w:trHeight w:val="225"/>
        </w:trPr>
        <w:tc>
          <w:tcPr>
            <w:tcW w:w="40" w:type="dxa"/>
            <w:vAlign w:val="bottom"/>
          </w:tcPr>
          <w:p>
            <w:pPr>
              <w:spacing w:after="0"/>
              <w:rPr>
                <w:sz w:val="19"/>
                <w:szCs w:val="19"/>
                <w:color w:val="auto"/>
              </w:rPr>
            </w:pPr>
          </w:p>
        </w:tc>
        <w:tc>
          <w:tcPr>
            <w:tcW w:w="2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Included in Other</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2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76,955</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(74,212)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(11,077)</w:t>
            </w:r>
          </w:p>
        </w:tc>
      </w:tr>
      <w:tr>
        <w:trPr>
          <w:trHeight w:val="205"/>
        </w:trPr>
        <w:tc>
          <w:tcPr>
            <w:tcW w:w="40" w:type="dxa"/>
            <w:vAlign w:val="bottom"/>
          </w:tcPr>
          <w:p>
            <w:pPr>
              <w:spacing w:after="0"/>
              <w:rPr>
                <w:sz w:val="17"/>
                <w:szCs w:val="17"/>
                <w:color w:val="auto"/>
              </w:rPr>
            </w:pPr>
          </w:p>
        </w:tc>
        <w:tc>
          <w:tcPr>
            <w:tcW w:w="2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Transfers in and / or out of Level</w:t>
            </w: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34"/>
        </w:trPr>
        <w:tc>
          <w:tcPr>
            <w:tcW w:w="2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248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2480" w:type="dxa"/>
            <w:vAlign w:val="bottom"/>
            <w:tcBorders>
              <w:bottom w:val="single" w:sz="8" w:color="EAF9E8"/>
            </w:tcBorders>
            <w:shd w:val="clear" w:color="auto" w:fill="EAF9E8"/>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1,315,324</w:t>
            </w:r>
          </w:p>
        </w:tc>
        <w:tc>
          <w:tcPr>
            <w:tcW w:w="12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(1,236,094)</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(618,855)</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101,948</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(430,208)</w:t>
            </w:r>
          </w:p>
        </w:tc>
      </w:tr>
      <w:tr>
        <w:trPr>
          <w:trHeight w:val="20"/>
        </w:trPr>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46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transfer to another party of servicing related to Rights to MSRs, we are required to reimburse New Residential Investment Corp. (NRZ) at predetermined contractual rates for the loss of servicing revenues. Settlements</w:t>
      </w:r>
    </w:p>
    <w:p>
      <w:pPr>
        <w:sectPr>
          <w:pgSz w:w="11900" w:h="16838" w:orient="portrait"/>
          <w:cols w:equalWidth="0" w:num="1">
            <w:col w:w="11420"/>
          </w:cols>
          <w:pgMar w:left="240" w:top="73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38" w:right="239" w:bottom="1440" w:gutter="0" w:footer="0" w:header="0"/>
          <w:type w:val="continuous"/>
        </w:sectPr>
      </w:pPr>
    </w:p>
    <w:bookmarkStart w:id="18" w:name="page19"/>
    <w:bookmarkEnd w:id="18"/>
    <w:p>
      <w:pPr>
        <w:ind w:left="500"/>
        <w:spacing w:after="0"/>
        <w:rPr>
          <w:sz w:val="20"/>
          <w:szCs w:val="20"/>
          <w:color w:val="auto"/>
        </w:rPr>
      </w:pPr>
      <w:r>
        <w:rPr>
          <w:rFonts w:ascii="Times New Roman" w:cs="Times New Roman" w:eastAsia="Times New Roman" w:hAnsi="Times New Roman"/>
          <w:sz w:val="18"/>
          <w:szCs w:val="18"/>
          <w:color w:val="auto"/>
        </w:rPr>
        <w:t>for Financing liability - MSRs pledged for the nine months ended September 30, 2015 includes $2.2 million of such reimbursements.</w:t>
      </w:r>
    </w:p>
    <w:p>
      <w:pPr>
        <w:spacing w:after="0" w:line="27" w:lineRule="exact"/>
        <w:rPr>
          <w:sz w:val="20"/>
          <w:szCs w:val="20"/>
          <w:color w:val="auto"/>
        </w:rPr>
      </w:pPr>
    </w:p>
    <w:p>
      <w:pPr>
        <w:ind w:left="500" w:right="40" w:hanging="492"/>
        <w:spacing w:after="0" w:line="27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losses attributable to derivative financial instruments still held at September 30, 2015 were $1.3 million for the nine months ended September 30, 2015.</w:t>
      </w:r>
    </w:p>
    <w:p>
      <w:pPr>
        <w:spacing w:after="0" w:line="5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originate and purchase residential mortgage loans that we intend to sell to the GSEs. We also own residential mortgage loans that are not eligible to be sold to the GSEs due to delinquency or other factors. Residential forward and reverse mortgage loans that we intend to sell to the GSEs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uncommitted loans on the expected future cash flows discounted at a rate commensurate with the risk of the estimated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Investment – Reverse Mortgages</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elected to measure these loans at fair value. For transferred reverse mortgage loans that do not qualify as sales for accounting purposes, we base the fair value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more significant assumptions used in the September 30, 2015 valuation include:</w:t>
      </w:r>
    </w:p>
    <w:p>
      <w:pPr>
        <w:spacing w:after="0" w:line="1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 years ranging from 6.33 to 10.22 (weighted average of 6.70);</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repayment rate ranging from 4.85% to 53.75% (weighted average of 19.39%);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 of 2.95%.</w:t>
      </w:r>
    </w:p>
    <w:p>
      <w:pPr>
        <w:spacing w:after="0" w:line="9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components of the estimated future cash inflows for MSRs include servicing fees, late fees, float earnings and other ancillary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cash outflows include the cost of servicing, the cost of financing servicing advances and compensating interest payments.</w:t>
      </w:r>
    </w:p>
    <w:p>
      <w:pPr>
        <w:spacing w:after="0" w:line="9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have an internal understanding of the processes and assumptions used to develop the prices based on our ongoing due diligence, which includes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15" w:right="239" w:bottom="1440" w:gutter="0" w:footer="0" w:header="0"/>
        </w:sectPr>
      </w:pPr>
    </w:p>
    <w:bookmarkStart w:id="19" w:name="page20"/>
    <w:bookmarkEnd w:id="19"/>
    <w:p>
      <w:pPr>
        <w:ind w:right="280"/>
        <w:spacing w:after="0" w:line="266" w:lineRule="auto"/>
        <w:rPr>
          <w:sz w:val="20"/>
          <w:szCs w:val="20"/>
          <w:color w:val="auto"/>
        </w:rPr>
      </w:pPr>
      <w:r>
        <w:rPr>
          <w:rFonts w:ascii="Times New Roman" w:cs="Times New Roman" w:eastAsia="Times New Roman" w:hAnsi="Times New Roman"/>
          <w:sz w:val="18"/>
          <w:szCs w:val="18"/>
          <w:color w:val="auto"/>
        </w:rPr>
        <w:t>regular discussions with the valuation experts. We believe that the procedures executed by the valuation experts, supported by our internal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evaluate the reasonableness of our third party experts’ assumptions using historical experience adjusted for prevailing market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used in the valuation of MSRs include:</w:t>
      </w:r>
    </w:p>
    <w:p>
      <w:pPr>
        <w:spacing w:after="0" w:line="38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prepayment speeds</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Interest rate used for computing the cost of financing</w:t>
            </w:r>
          </w:p>
        </w:tc>
      </w:tr>
      <w:tr>
        <w:trPr>
          <w:trHeight w:val="234"/>
        </w:trPr>
        <w:tc>
          <w:tcPr>
            <w:tcW w:w="2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servicing advances</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servicing</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used for computing float earnings</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Discount rate</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Compensating interest expense</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Delinquency rates</w:t>
            </w:r>
          </w:p>
        </w:tc>
        <w:tc>
          <w:tcPr>
            <w:tcW w:w="18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Collection rate of other ancillary fees</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Amortized Cost MSRs</w:t>
      </w:r>
    </w:p>
    <w:p>
      <w:pPr>
        <w:spacing w:after="0" w:line="119"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We estimate the fair value of MSRs carried at amortized cost using a process that involves either actual sale prices obtained or the use of third-party valuation experts, supported by commercially available discounted cash flow models and analysis of current market data. To provide greater price transparency to investors, we disclose actual Ocwen sale prices for orderly transactions where available in lieu of third-party valuations.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more significant assumptions used in the September 30, 2015 valuation include:</w:t>
      </w:r>
    </w:p>
    <w:p>
      <w:pPr>
        <w:spacing w:after="0" w:line="379"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6380" w:type="dxa"/>
            <w:vAlign w:val="bottom"/>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3540" w:type="dxa"/>
            <w:vAlign w:val="bottom"/>
            <w:shd w:val="clear" w:color="auto" w:fill="EAF9E8"/>
          </w:tcPr>
          <w:p>
            <w:pPr>
              <w:spacing w:after="0"/>
              <w:rPr>
                <w:sz w:val="23"/>
                <w:szCs w:val="23"/>
                <w:color w:val="auto"/>
              </w:rPr>
            </w:pPr>
          </w:p>
        </w:tc>
        <w:tc>
          <w:tcPr>
            <w:tcW w:w="13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35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7"/>
        </w:trPr>
        <w:tc>
          <w:tcPr>
            <w:tcW w:w="63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Advance financing cost</w:t>
            </w:r>
          </w:p>
        </w:tc>
        <w:tc>
          <w:tcPr>
            <w:tcW w:w="35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5-year swap</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35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5-year swap</w:t>
            </w:r>
          </w:p>
        </w:tc>
      </w:tr>
      <w:tr>
        <w:trPr>
          <w:trHeight w:val="27"/>
        </w:trPr>
        <w:tc>
          <w:tcPr>
            <w:tcW w:w="63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5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3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r>
    </w:tbl>
    <w:p>
      <w:pPr>
        <w:spacing w:after="0" w:line="11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perform an impairment analysis based on the difference between the carrying amount and fair value after grouping the underlying loans into the applicable strata. Our strata are defined as conventional and government-insured.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MSRs</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Ocwen sale, including transactions where we have executed letters of intent, in which case the fair value of the MSRs is carried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25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for Non-Agency MSRs via a market rate indexed cost of advance funding. Other key assumptions used in the valuation of these MSRs include delinquency rates and discount rates.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primary assumptions used in the September 30, 2015 valuation include: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26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Non Agency</w:t>
            </w:r>
          </w:p>
        </w:tc>
      </w:tr>
      <w:tr>
        <w:trPr>
          <w:trHeight w:val="27"/>
        </w:trPr>
        <w:tc>
          <w:tcPr>
            <w:tcW w:w="778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3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financing cost</w:t>
            </w:r>
          </w:p>
        </w:tc>
        <w:tc>
          <w:tcPr>
            <w:tcW w:w="36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5-year swap</w:t>
            </w:r>
          </w:p>
        </w:tc>
        <w:tc>
          <w:tcPr>
            <w:tcW w:w="26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1ML plus 3.5%</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360" w:type="dxa"/>
            <w:vAlign w:val="bottom"/>
          </w:tcPr>
          <w:p>
            <w:pPr>
              <w:spacing w:after="0"/>
              <w:rPr>
                <w:sz w:val="21"/>
                <w:szCs w:val="21"/>
                <w:color w:val="auto"/>
              </w:rPr>
            </w:pPr>
          </w:p>
        </w:tc>
        <w:tc>
          <w:tcPr>
            <w:tcW w:w="1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5-year swap</w:t>
            </w:r>
          </w:p>
        </w:tc>
        <w:tc>
          <w:tcPr>
            <w:tcW w:w="26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1ML</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336</w:t>
            </w: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88" w:right="2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Advances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receivables generally approximates fair value because of the relatively short period of time between their origination and realization.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Mortgage-Backed Securities</w:t>
      </w:r>
    </w:p>
    <w:p>
      <w:pPr>
        <w:spacing w:after="0" w:line="16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subordinate and residual securities are not actively traded, and therefore, we estimate the fair value of these securities based on the present value of expected future cash flows from the underlying 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Discount rates for the subordinate and residual securities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Match Funded Liabilities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HMBS-Related Borrowings</w:t>
      </w:r>
    </w:p>
    <w:p>
      <w:pPr>
        <w:spacing w:after="0" w:line="11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elected to measure these borrowings at fair value. We recognize the proceeds from the transfer of reverse mortgages as a secured borrowing that we account for at fair value. These borrowings are not actively traded, and therefore, quoted market prices are not available. We determine fair value by discounting the future principal and interest repayments over the estimated life of the borrowing at a market rate commensurate with the risk of the estimated cash flows. Significant assumptions include prepayments, discount rate and borrower mortality rates for reverse mortgages. The discount rate assumption for these liabilities is based on an assessment of current market yields for newly issued HMBS, expected duration and current market interest rates.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more significant assumptions used in the September 30, 2015 valuation include:</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 years ranging from 4.85 to 10.22 (weighted average of 5.54);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 repayment rate ranging from 4.85% to 53.75% (weighted average of 19.39%);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 of 2.27%.</w:t>
      </w:r>
    </w:p>
    <w:p>
      <w:pPr>
        <w:spacing w:after="0" w:line="99" w:lineRule="exact"/>
        <w:rPr>
          <w:sz w:val="20"/>
          <w:szCs w:val="20"/>
          <w:color w:val="auto"/>
        </w:rPr>
      </w:pPr>
    </w:p>
    <w:p>
      <w:pPr>
        <w:ind w:right="166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Significant increases or decreases in any of these assumptions in isolation would result in a significantly higher or lower fair value. </w:t>
      </w:r>
      <w:r>
        <w:rPr>
          <w:rFonts w:ascii="Times New Roman" w:cs="Times New Roman" w:eastAsia="Times New Roman" w:hAnsi="Times New Roman"/>
          <w:sz w:val="18"/>
          <w:szCs w:val="18"/>
          <w:i w:val="1"/>
          <w:iCs w:val="1"/>
          <w:color w:val="auto"/>
        </w:rPr>
        <w:t>MSRs Pledged</w:t>
      </w:r>
    </w:p>
    <w:p>
      <w:pPr>
        <w:spacing w:after="0" w:line="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periodically sell the rights to receive servicing fees, excluding ancillary income, with respect to certain non-Agency MSRs (Rights to MSRs). Because we have retained legal title to the MSRs, the sales of Rights to MSRs are accounted for as financings. We initially establish the value of the Financing Liability - MSRs Pledged based on the price at which the Rights to MSRs are sold. Thereafter, the carrying value of the Financing Liability - MSRs pledged is adjusted to fair value at each reporting date. We determine fair value by applying the price of the underlying MSRs to the remaining principal balance related to the underlying MSRs. Since we have elected fair value for our portfolio of private-label MSRs, future fair value changes in the Financing Liability - MSRs Pledged will be largely offset by changes in the fair value of the related MSRs.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84" w:right="2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color w:val="auto"/>
        </w:rPr>
        <w:t>The more significant assumptions used in determination of the price of the underlying MSRs at September 30, 2015 include: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8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3240" w:type="dxa"/>
            <w:vAlign w:val="bottom"/>
            <w:shd w:val="clear" w:color="auto" w:fill="EAF9E8"/>
          </w:tcPr>
          <w:p>
            <w:pPr>
              <w:spacing w:after="0"/>
              <w:rPr>
                <w:sz w:val="23"/>
                <w:szCs w:val="23"/>
                <w:color w:val="auto"/>
              </w:rPr>
            </w:pPr>
          </w:p>
        </w:tc>
        <w:tc>
          <w:tcPr>
            <w:tcW w:w="15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3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7"/>
        </w:trPr>
        <w:tc>
          <w:tcPr>
            <w:tcW w:w="6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2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financing cost</w:t>
            </w:r>
          </w:p>
        </w:tc>
        <w:tc>
          <w:tcPr>
            <w:tcW w:w="324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 ML plus 3.5%</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324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1ML</w:t>
            </w:r>
          </w:p>
        </w:tc>
      </w:tr>
      <w:tr>
        <w:trPr>
          <w:trHeight w:val="27"/>
        </w:trPr>
        <w:tc>
          <w:tcPr>
            <w:tcW w:w="6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2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4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3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341</w:t>
            </w:r>
          </w:p>
        </w:tc>
      </w:tr>
    </w:tbl>
    <w:p>
      <w:pPr>
        <w:spacing w:after="0" w:line="117" w:lineRule="exact"/>
        <w:rPr>
          <w:sz w:val="20"/>
          <w:szCs w:val="20"/>
          <w:color w:val="auto"/>
        </w:rPr>
      </w:pPr>
    </w:p>
    <w:p>
      <w:pPr>
        <w:ind w:right="216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Significant increases or decreases in these assumptions in isolation would result in a significantly higher or lower fair value </w:t>
      </w:r>
      <w:r>
        <w:rPr>
          <w:rFonts w:ascii="Times New Roman" w:cs="Times New Roman" w:eastAsia="Times New Roman" w:hAnsi="Times New Roman"/>
          <w:sz w:val="18"/>
          <w:szCs w:val="18"/>
          <w:i w:val="1"/>
          <w:iCs w:val="1"/>
          <w:color w:val="auto"/>
        </w:rPr>
        <w:t>Secured Notes</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Secured Borrowings</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based the fair values at September 30, 2015 and December 31, 2014 on quoted prices in a market with limited trading activity.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Notes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7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enter into forward mortgage-backed securities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obtained unadjusted market quotes for these derivatives, thus they are classified within Level 1 of the valuation hierarchy.</w:t>
      </w:r>
    </w:p>
    <w:p>
      <w:pPr>
        <w:spacing w:after="0" w:line="7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use interest rate caps to minimize future interest rate exposures on variable rate debt issued on servicing advance financing facilities from increases in one-month LIBOR interest rates. The fair value for interest rate caps is based on counterparty market prices and adjusted for counterparty credit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Sales of Advances and MSRs</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order to efficiently finance our assets, streamline our operations and generate liquidity, we sell MSRs, Rights to MSRs and servicing advances to market participants. We may retain the right to subservice loans when we sell MSRs. In connection with sales of Rights to MSRs, we retain legal ownership of the MSRs and continue to service the related mortgage loans until such time as all necessary consents to a transfer of the MSRs are received.</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688" w:right="27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MSRs and advances sold during the nine months ended September 30,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Advances and</w:t>
            </w:r>
          </w:p>
        </w:tc>
      </w:tr>
      <w:tr>
        <w:trPr>
          <w:trHeight w:val="216"/>
        </w:trPr>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Match Funded</w:t>
            </w:r>
          </w:p>
        </w:tc>
      </w:tr>
      <w:tr>
        <w:trPr>
          <w:trHeight w:val="238"/>
        </w:trPr>
        <w:tc>
          <w:tcPr>
            <w:tcW w:w="8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MSRs</w:t>
            </w: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Advances</w:t>
            </w:r>
          </w:p>
        </w:tc>
      </w:tr>
      <w:tr>
        <w:trPr>
          <w:trHeight w:val="27"/>
        </w:trPr>
        <w:tc>
          <w:tcPr>
            <w:tcW w:w="83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Carrying value of assets sold</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662,923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321,164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sale</w:t>
            </w:r>
          </w:p>
        </w:tc>
        <w:tc>
          <w:tcPr>
            <w:tcW w:w="3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Plus: Accrued expenses and reserves</w:t>
            </w:r>
          </w:p>
        </w:tc>
        <w:tc>
          <w:tcPr>
            <w:tcW w:w="3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19,529</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price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780,410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321,164</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from purchaser at September 30</w:t>
            </w:r>
          </w:p>
        </w:tc>
        <w:tc>
          <w:tcPr>
            <w:tcW w:w="3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35,226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Amount paid to purchasers for estimated representation and warranty obligations, compensatory fees for</w:t>
            </w:r>
          </w:p>
        </w:tc>
        <w:tc>
          <w:tcPr>
            <w:tcW w:w="3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r>
      <w:tr>
        <w:trPr>
          <w:trHeight w:val="261"/>
        </w:trPr>
        <w:tc>
          <w:tcPr>
            <w:tcW w:w="834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foreclosures that may ultimately exceed investor timelines and related indemnification obligations</w:t>
            </w:r>
          </w:p>
        </w:tc>
        <w:tc>
          <w:tcPr>
            <w:tcW w:w="32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83,806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net cash received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598,059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285,938</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During nine months ended September 30, 2015, we sold Agency MSRs relating to loans with a UPB of $87.6 billion. There were no significant MSR sales during the nine months ended September 30, 2014. In 2012 and 2013, we sold to Home Loan Servicing Solutions, Ltd. (HLSS) Rights to MSRs and the related servicing advances (together with the sale of the related servicing advances, the NRZ/HLSS Transactions). On April 6, 2015, HLSS closed on the sale of substantially all of its assets to NRZ. References to NRZ in these unaudited consolidated financial statements include HLSS for periods prior to April 6, 2015 because, following HLSS’ sale of substantially all of its assets on April 6, 2015, NRZ, through its subsidiaries, is the owner of the Rights to MSRs and has assumed all rights and obligations under the associated agreements.</w:t>
      </w:r>
    </w:p>
    <w:p>
      <w:pPr>
        <w:spacing w:after="0" w:line="80"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our agreements, NRZ has assumed the obligation to fund new servicing advances with respect to the Rights to MSRs. However, because we remain the servicer on the loans for which the Rights to MSRs have been sold, in the event NRZ were to fail to fulfill its advance funding obligations, as the servicer under our servicing agreements, we would be contractually obligated to fund such advances. At September 30, 2015, NRZ had outstanding advances of approximately $5.1 billion in connection with the Rights to MSRs.</w:t>
      </w:r>
    </w:p>
    <w:p>
      <w:pPr>
        <w:spacing w:after="0" w:line="7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servicing fees payable under the servicing agreements underlying the Rights to MSRs are apportioned between NRZ and us as provided in our agreements with NRZ. NRZ retains a fee based on the UPB of the loans serviced, and OLS receives certain fees, including a performance fee based on servicing fees actually paid less an amount calculated based on the amount of servicing advances and cost of financing those advances. After the earlier of April 30, 2020 or eight years after the closing date of the sale of each tranche of Rights to MSRs to NRZ, the apportionment of these fees with respect to such tranche is subject to re-negotiation.</w:t>
      </w:r>
    </w:p>
    <w:p>
      <w:pPr>
        <w:spacing w:after="0" w:line="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it relates to the NRZ/HLSS Transactions, if and when a transfer of legal ownership occurs, OLS will subservice the loans pursuant to a subservicing agreement, as amended, with NRZ.</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Beginning April 2017, NRZ has a general right to direct us to transfer servicing of the servicing agreements underlying the Rights to MSRs that we have previously sold to NRZ provided that the transfer is subject to our continued right to be paid the servicing fees and other amounts payable under our agreements. An exception to the requirement that the transfer is subject to our continued right to payment under the transferred servicing agreement exists in circumstances where a termination event (as defined in our agreements with NRZ) occurs. In these circumstances, NRZ may direct us to use commercially reasonable efforts to transfer servicing under the affected servicing agreement and, following the transfer, we would no longer be entitled to receive future servicing fee revenue with respect to the transferred servicing agreement. Regarding NRZ’s rights upon a termination event resulting from an uncured servicer rating downgrade, NRZ has agreed to a standstill until April 2017 unless they determine in good faith that a trustee intends to terminate servicing under an affected servicing agreement. In these circumstances, NRZ may direct us to use commercially reasonable efforts to transfer servicing under the affected servicing agreement and, following the transfer, we would no longer be entitled to receive future servicing fee revenue. All required third-party consents would need to be obtained in connection with any servicing transfer.</w:t>
      </w:r>
    </w:p>
    <w:p>
      <w:pPr>
        <w:spacing w:after="0" w:line="7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To the extent servicing agreements underlying Rights to MSRs are terminated as a result of a termination event, NRZ is entitled to payment of an amount equal to a percentage of NRZ’s purchase price for the related Rights to MSRs. We paid NRZ $2.2 million through September 30, 2015 in connection with the termination of four servicing agreements underlying the Rights to MSRs.</w:t>
      </w:r>
    </w:p>
    <w:p>
      <w:pPr>
        <w:spacing w:after="0" w:line="6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NRZ/HLSS Transactions are accounted for as financings. If and when transfer of legal ownership of the underlying MSRs occurs upon receipt of third-party consents, we would derecognize the related MSRs. Upon derecognition, any resulting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88" w:right="239" w:bottom="1440" w:gutter="0" w:footer="0" w:header="0"/>
        </w:sectPr>
      </w:pPr>
    </w:p>
    <w:bookmarkStart w:id="23" w:name="page24"/>
    <w:bookmarkEnd w:id="23"/>
    <w:p>
      <w:pPr>
        <w:ind w:right="420"/>
        <w:spacing w:after="0" w:line="282" w:lineRule="auto"/>
        <w:rPr>
          <w:sz w:val="20"/>
          <w:szCs w:val="20"/>
          <w:color w:val="auto"/>
        </w:rPr>
      </w:pPr>
      <w:r>
        <w:rPr>
          <w:rFonts w:ascii="Times New Roman" w:cs="Times New Roman" w:eastAsia="Times New Roman" w:hAnsi="Times New Roman"/>
          <w:sz w:val="18"/>
          <w:szCs w:val="18"/>
          <w:color w:val="auto"/>
        </w:rPr>
        <w:t>gain or loss is deferred and amortized over the expected life of the related subservicing agreement. Until derecognition, we continue to recognize the full amount of servicing revenue and amortization of the MSRs.</w:t>
      </w:r>
    </w:p>
    <w:p>
      <w:pPr>
        <w:spacing w:after="0" w:line="5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sales of the advances in connection with MSR sales, including the NRZ/HLSS Transactions, meet the requirements for sale accounting, and the advances are derecognized from our consolidated financial statements at the servicing transfer date, or, in the case of advances sold in connection with the sale of Rights to MSRs at time of the sale.</w:t>
      </w:r>
    </w:p>
    <w:p>
      <w:pPr>
        <w:spacing w:after="0" w:line="6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In 2014, Ocwen sold advances related to certain FHA-insured mortgage loans to subsidiaries of NRZ. These advance sales did not qualify for sales treatment and were accounted for as financings.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Loans Held for Sale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Sale - Fair Value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Loans held for sale, at fair value, represent residential mortgage loans originated or purchased and held until sold to secondary market investors, such as the GSEs or other third parties. The following table summarizes the activity in the balance during the nine months ended September 30: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503,753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Originations and 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3,119,457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3,923,870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(3,306,180)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(4,010,644)</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Transfers to loans held for investment - reverse mortgages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(110,874)</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39,486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(1)</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235,909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335,950</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Other includes the change in fair value of $9.9 million and $1.2 million for the nine months ended September 30, 2015 and 2014, respectively.</w:t>
      </w:r>
    </w:p>
    <w:p>
      <w:pPr>
        <w:spacing w:after="0" w:line="11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At September 30, 2015, loans held for sale, at fair value with a UPB of $220.2 million were pledged to secure warehouse lines of credit in our Lending segment.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Sale - Lower of Cost or Fair Value</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Loans held for sale, at lower of cost or fair value, include residential loans that we do not intend to hold to maturity. The following table summarizes the activity in the balance during the nine months ended September 30: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87,492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62,907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769,631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2,083,282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Proceeds from sales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(577,591)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(1,744,273)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collections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(248,552)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Transfers to accounts receivable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(96,257)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to real estate owned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 on sale of loans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32,471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valuation allowance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3,216</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 (1) (2)</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291,063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71,937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120" w:hanging="492"/>
        <w:spacing w:after="0" w:line="258"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2015 and September 30, 2014, the balances are net of valuation allowances of $15.4 million and $47.0 million, respectively. The decrease in the valuation allowance for the nine months ended September 30, 2015 resulted principally from the reversal of $37.8 million of the allowance that was associated with loans that were sold to unrelated third parties during the six months ended June 30, 2015. This decrease was partly offset by an increase of $1.1 million in the allowance resulting from transfers from the liability for indemnification obligations for the initial valuation adjustment that we recognized on certain loans that we repurchased from Fannie Mae and Freddie Mac guaranteed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88" w:right="239" w:bottom="1440" w:gutter="0" w:footer="0" w:header="0"/>
        </w:sectPr>
      </w:pPr>
    </w:p>
    <w:bookmarkStart w:id="24" w:name="page25"/>
    <w:bookmarkEnd w:id="24"/>
    <w:p>
      <w:pPr>
        <w:ind w:left="500" w:right="580"/>
        <w:spacing w:after="0" w:line="284" w:lineRule="auto"/>
        <w:rPr>
          <w:sz w:val="20"/>
          <w:szCs w:val="20"/>
          <w:color w:val="auto"/>
        </w:rPr>
      </w:pPr>
      <w:r>
        <w:rPr>
          <w:rFonts w:ascii="Times New Roman" w:cs="Times New Roman" w:eastAsia="Times New Roman" w:hAnsi="Times New Roman"/>
          <w:sz w:val="18"/>
          <w:szCs w:val="18"/>
          <w:color w:val="auto"/>
        </w:rPr>
        <w:t>securitizations. For the nine months ended September 30, 2014, the increase in the allowance was principally the result of $15.3 million of such transfers from the liability for indemnification obligations.</w:t>
      </w:r>
    </w:p>
    <w:p>
      <w:pPr>
        <w:spacing w:after="0" w:line="1" w:lineRule="exact"/>
        <w:rPr>
          <w:sz w:val="20"/>
          <w:szCs w:val="20"/>
          <w:color w:val="auto"/>
        </w:rPr>
      </w:pPr>
    </w:p>
    <w:p>
      <w:pPr>
        <w:jc w:val="both"/>
        <w:ind w:left="500" w:right="180" w:hanging="492"/>
        <w:spacing w:after="0" w:line="263"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2015 and September 30, 2014, the balances include $98.7 million and $24.1 million, respectively, of loans that we were required to repurchase from Ginnie Mae guaranteed securitizations as part of our servicing obligations. Repurchased loans are modified or otherwise remediated through loss mitigation activities or are reclassified to receivables.</w:t>
      </w:r>
    </w:p>
    <w:p>
      <w:pPr>
        <w:spacing w:after="0" w:line="7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At September 30, 2015, Loans held for sale, at lower of cost or fair value with a UPB of $29.7 million were pledged to secure a warehouse line of credit in our Servicing segment.</w:t>
      </w:r>
    </w:p>
    <w:p>
      <w:pPr>
        <w:spacing w:after="0" w:line="5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March 2014, we purchased delinquent FHA-insured loans with a UPB of $549.4 million out of Ginnie Mae guaranteed securitizations under the terms of a conditional repurchase option whereby as servicer we have the right, but not the obligation, to repurchase delinquent loans at par plus delinquent interest (the Ginnie Mae early buy-out (EBO) program). Immediately after their purchase, we sold the loans (the Ginnie Mae EBO Loans) and related advances to a subsidiary of NRZ for $612.3 million ($556.6 million for the Ginnie Mae EBO Loans and $55.7 million for the related servicing advances). We recognized a gain of $7.2 million on the sale of the loans.</w:t>
      </w:r>
    </w:p>
    <w:p>
      <w:pPr>
        <w:spacing w:after="0" w:line="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May 1, 2014, we purchased a second group of delinquent FHA-insured loans with a UPB of $451.0 million through the Ginnie Mae EBO program for $479.6 million, including delinquent interest. On May 2, 2014, we sold the Ginnie Mae EBO Loans to an unrelated third party for $462.5 million and recognized a gain of $1.3 million, including the value assigned to the retained MSRs. Separately, we sold $20.2 million of the advances related to these loans to a subsidiary of NRZ.</w:t>
      </w:r>
    </w:p>
    <w:p>
      <w:pPr>
        <w:spacing w:after="0" w:line="7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sales of advances to the NRZ subsidiaries did not qualify for sales treatment and were accounted for as a financing. We refer to the purchase and sale of the Ginnie Mae EBO Loans and the sale of the related advances as the Ginnie Mae EBO Transactions.</w:t>
      </w:r>
    </w:p>
    <w:p>
      <w:pPr>
        <w:spacing w:after="0" w:line="5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March 2015, we recognized a gain of $12.9 million on sales of loans with a total UPB of $42.7 million to an unrelated third party. In May 2015, we recognized a gain of $7.2 million on sales of a second group of loans with a total UPB of $33.0 million to an unrelated third party. We had repurchased these loans under the representation and warranty provisions of our contractual obligations to the GSEs as primary servicer of the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Loans Held for Sale,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in Gain on loans held for sale, net, during the three and nine months ended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9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Gain on sales of loans</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34,038</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42,185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130,425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145,455</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IRLCs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economic hedge instruments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losses</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27,298</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116,934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110,041</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Gains on loans held for sale, net include $9.5 million and $27.8 million for the three and nine months ended September 30, 2015, respectively, representing the value assigned to MSRs retained on transfers of forward loans. For the three and nine months ended September 30, 2014, gains attributed to retained MSRs were $10.7 million and $32.1 million, respectively.</w:t>
      </w:r>
    </w:p>
    <w:p>
      <w:pPr>
        <w:spacing w:after="0" w:line="6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Also included in Gains on loans held for sale, net are a gain of $5.3 million and a gain of $18.3 million recorded during the three and nine months ended September 30, 2015, respectively, on sales of repurchased Ginnie Mae loans, which are carried at the lower of cost or fair value. For the three and nine months ended September 30, 2014, gains on sales of repurchased Ginnie Mae loans were $9.9 million and $50.6 million, respectively.</w:t>
      </w:r>
    </w:p>
    <w:p>
      <w:pPr>
        <w:spacing w:after="0" w:line="68"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Fair value gains recognized in connection with sales of reverse mortgages into Ginnie Mae guaranteed securitizations are also included in Gains on loans held for sale, net and amounted to $30.1 million and $91.1 million for the three and nine months ended September 30, 2015, respectively. Fair value gains for the three and nine months ended September 30, 2014 were $20.4 million and $51.4 million,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15"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6 – Advances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Advances, net, which represent payments made on behalf of borrowers or on foreclosed properties, consisted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and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103,235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128,217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Taxes and insurance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258,846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467,891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Foreclosures, bankruptcy and other (1)</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150,898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293,340</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512,979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889,448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4,466</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517,378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893,914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right="580" w:hanging="332"/>
        <w:spacing w:after="0" w:line="404" w:lineRule="auto"/>
        <w:tabs>
          <w:tab w:leader="none" w:pos="5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at September 30, 2015 and December 31, 2014 are net of an allowance for losses of $60.4 million and $70.0 million, respectively. The following table summarizes the activity in advances for the nine months 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893,914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890,832</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99,318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Transfers to match funded advances</w:t>
            </w: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(10,156)</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advances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Collections of advances, net of new advances, and 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(151,780)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7,292</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517,378</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987,286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Match Funded Advances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Match funded advances on residential loans we service for others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5220" w:type="dxa"/>
            <w:vAlign w:val="bottom"/>
            <w:tcBorders>
              <w:bottom w:val="single" w:sz="8" w:color="EAF9E8"/>
            </w:tcBorders>
          </w:tcPr>
          <w:p>
            <w:pPr>
              <w:spacing w:after="0"/>
              <w:rPr>
                <w:sz w:val="2"/>
                <w:szCs w:val="2"/>
                <w:color w:val="auto"/>
              </w:rPr>
            </w:pPr>
          </w:p>
        </w:tc>
        <w:tc>
          <w:tcPr>
            <w:tcW w:w="3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Principal and interest</w:t>
            </w:r>
          </w:p>
        </w:tc>
        <w:tc>
          <w:tcPr>
            <w:tcW w:w="32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1,066,125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1,349,048</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and insurance</w:t>
            </w:r>
          </w:p>
        </w:tc>
        <w:tc>
          <w:tcPr>
            <w:tcW w:w="3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847,064</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Foreclosures, bankruptcy, real estate and other</w:t>
            </w:r>
          </w:p>
        </w:tc>
        <w:tc>
          <w:tcPr>
            <w:tcW w:w="3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174,988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213,330</w:t>
            </w: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1,955,618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2,409,442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in match funded advances for the nine months ended September 30:</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5220" w:type="dxa"/>
            <w:vAlign w:val="bottom"/>
            <w:tcBorders>
              <w:bottom w:val="single" w:sz="8" w:color="EAF9E8"/>
            </w:tcBorders>
          </w:tcPr>
          <w:p>
            <w:pPr>
              <w:spacing w:after="0"/>
              <w:rPr>
                <w:sz w:val="2"/>
                <w:szCs w:val="2"/>
                <w:color w:val="auto"/>
              </w:rPr>
            </w:pPr>
          </w:p>
        </w:tc>
        <w:tc>
          <w:tcPr>
            <w:tcW w:w="3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28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2,409,442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2,552,383</w:t>
            </w: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3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85,521</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Transfers from advances</w:t>
            </w:r>
          </w:p>
        </w:tc>
        <w:tc>
          <w:tcPr>
            <w:tcW w:w="3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10,156</w:t>
            </w: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advances</w:t>
            </w:r>
          </w:p>
        </w:tc>
        <w:tc>
          <w:tcPr>
            <w:tcW w:w="3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Collections of pledged advances, net of new advances, and other</w:t>
            </w:r>
          </w:p>
        </w:tc>
        <w:tc>
          <w:tcPr>
            <w:tcW w:w="3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(357,416)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(288,481)</w:t>
            </w:r>
          </w:p>
        </w:tc>
        <w:tc>
          <w:tcPr>
            <w:tcW w:w="0" w:type="dxa"/>
            <w:vAlign w:val="bottom"/>
          </w:tcPr>
          <w:p>
            <w:pPr>
              <w:spacing w:after="0"/>
              <w:rPr>
                <w:sz w:val="1"/>
                <w:szCs w:val="1"/>
                <w:color w:val="auto"/>
              </w:rPr>
            </w:pPr>
          </w:p>
        </w:tc>
      </w:tr>
      <w:tr>
        <w:trPr>
          <w:trHeight w:val="257"/>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1,955,618</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2,359,579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12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8 – Mortgage Servicing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 – Amortization Method</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activity in the carrying value of amortization method servicing assets for the nine months ended September 30. Amortization of mortgage servicing rights is reported net of the amortization of any servicing liabilities and includes the amount of charges we recognized to increase servicing liability obligations, if any.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1,820,091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1,953,352</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election - transfer to MSRs carried at fair value (1)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Additions recognized in connection with business acquisitions</w:t>
            </w: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20,378</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recognized in connection with asset acquisitions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19,338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Additions recognized on the sale of mortgage loans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27,791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50,480</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transfers and adjustments</w:t>
            </w:r>
          </w:p>
        </w:tc>
        <w:tc>
          <w:tcPr>
            <w:tcW w:w="3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37"/>
        </w:trPr>
        <w:tc>
          <w:tcPr>
            <w:tcW w:w="8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479,190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2,042,893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(88,188)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(186,075)</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365,951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1,856,818</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83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 fair value at end of period</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404,533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2,364,393</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hanging="492"/>
        <w:spacing w:after="0" w:line="258"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2015, we elected fair value accounting for a newly-created class of non-Agency MSRs, which were previously accounted for using the amortization method. This irrevocable election applies to all subsequently acquired or 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of the loans related to the non-Agency MSRs for which the fair value election was made was $195.3 billion.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Servicing Rights—Fair Value Measurement Method</w:t>
      </w:r>
    </w:p>
    <w:p>
      <w:pPr>
        <w:spacing w:after="0" w:line="229" w:lineRule="exact"/>
        <w:rPr>
          <w:sz w:val="20"/>
          <w:szCs w:val="20"/>
          <w:color w:val="auto"/>
        </w:rPr>
      </w:pPr>
    </w:p>
    <w:p>
      <w:pPr>
        <w:ind w:right="220" w:firstLine="324"/>
        <w:spacing w:after="0" w:line="313" w:lineRule="auto"/>
        <w:rPr>
          <w:sz w:val="20"/>
          <w:szCs w:val="20"/>
          <w:color w:val="auto"/>
        </w:rPr>
      </w:pPr>
      <w:r>
        <w:rPr>
          <w:rFonts w:ascii="Times New Roman" w:cs="Times New Roman" w:eastAsia="Times New Roman" w:hAnsi="Times New Roman"/>
          <w:sz w:val="17"/>
          <w:szCs w:val="17"/>
          <w:color w:val="auto"/>
        </w:rPr>
        <w:t>This portfolio comprises servicing rights for which we elected the fair value option and includes Agency residential mortgage loans for which we previously hedged the related market risks and a new class of non-Agency residential mortgage loans for which we elected fair value as of January 1, 2015.</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fair value servicing assets for the nine months ended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3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Agency</w:t>
            </w:r>
          </w:p>
        </w:tc>
      </w:tr>
      <w:tr>
        <w:trPr>
          <w:trHeight w:val="27"/>
        </w:trPr>
        <w:tc>
          <w:tcPr>
            <w:tcW w:w="53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93,901</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93,901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116,029</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election - transfer from MSRs carried at amortized cost</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787,142</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Cumulative effect of fair value election</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52,015</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52,015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(70,084)</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transfers and adjustments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(1):</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Changes in valuation inputs or other assumptions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12,031</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(12,217)</w:t>
            </w:r>
          </w:p>
        </w:tc>
      </w:tr>
      <w:tr>
        <w:trPr>
          <w:trHeight w:val="243"/>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Realization of expected future cash flows and other changes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7"/>
        </w:trPr>
        <w:tc>
          <w:tcPr>
            <w:tcW w:w="538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14,417</w:t>
            </w:r>
          </w:p>
        </w:tc>
        <w:tc>
          <w:tcPr>
            <w:tcW w:w="2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772,927</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787,344</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101,948</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are recognized in Servicing and origination expense in the Unaudited Consolidated Statements of Operations.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the mortgages underlying these MSRs permit the borrowers to prepay the loans, the value of the MSRs generally tends to diminish in periods of declining interest rates or an improving housing market (as prepayments increase) and increase in periods of rising interest rates or deteriorating housing market (as prepayments decrease). The following table summarizes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33" w:right="239" w:bottom="1440" w:gutter="0" w:footer="0" w:header="0"/>
        </w:sectPr>
      </w:pPr>
    </w:p>
    <w:bookmarkStart w:id="27" w:name="page28"/>
    <w:bookmarkEnd w:id="27"/>
    <w:p>
      <w:pPr>
        <w:ind w:right="20"/>
        <w:spacing w:after="0" w:line="282" w:lineRule="auto"/>
        <w:rPr>
          <w:sz w:val="20"/>
          <w:szCs w:val="20"/>
          <w:color w:val="auto"/>
        </w:rPr>
      </w:pPr>
      <w:r>
        <w:rPr>
          <w:rFonts w:ascii="Times New Roman" w:cs="Times New Roman" w:eastAsia="Times New Roman" w:hAnsi="Times New Roman"/>
          <w:sz w:val="18"/>
          <w:szCs w:val="18"/>
          <w:color w:val="auto"/>
        </w:rPr>
        <w:t>estimated change in the value of the MSRs that we carry at fair value as of September 30, 2015 given hypothetical shifts in lifetime prepayments and yield assumptions: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Adverse change in fair value</w:t>
            </w:r>
          </w:p>
        </w:tc>
      </w:tr>
      <w:tr>
        <w:trPr>
          <w:trHeight w:val="27"/>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834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prepayment speeds</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(68,927)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(145,410)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Discount rate (option-adjusted spread)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(39,902)</w:t>
            </w:r>
          </w:p>
        </w:tc>
      </w:tr>
    </w:tbl>
    <w:p>
      <w:pPr>
        <w:spacing w:after="0" w:line="333"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sensitivity analysis measures the potential impact on fair values based on these hypothetical changes, which in the case of our portfolio at September 30, 2015 are increased prepayment speeds and a decrease in the yield assumption.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of Assets Serviced</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composition of our primary servicing and subservicing portfolios by type of property serviced as measured by UPB. The servicing portfolio represents loans for which we own the MSRs while subservicing represents all other loans. The UPB of assets serviced for others are not included on our Unaudited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30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74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UPB at September 30, 2015</w:t>
            </w:r>
          </w:p>
        </w:tc>
        <w:tc>
          <w:tcPr>
            <w:tcW w:w="22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238,108,447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238,108,447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49,960,702</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180,877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50,141,579</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288,069,149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180,877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288,250,026</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UPB at December 31, 2014</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361,288,281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361,288,281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37,439,446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149,737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37,589,183</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398,727,727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398,877,464</w:t>
            </w:r>
          </w:p>
        </w:tc>
      </w:tr>
      <w:tr>
        <w:trPr>
          <w:trHeight w:val="67"/>
        </w:trPr>
        <w:tc>
          <w:tcPr>
            <w:tcW w:w="6740" w:type="dxa"/>
            <w:vAlign w:val="bottom"/>
            <w:tcBorders>
              <w:bottom w:val="single" w:sz="8" w:color="EAF9E8"/>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EAF9E8"/>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UPB at September 30, 2014</w:t>
            </w:r>
          </w:p>
        </w:tc>
        <w:tc>
          <w:tcPr>
            <w:tcW w:w="22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spacing w:after="0"/>
              <w:rPr>
                <w:sz w:val="20"/>
                <w:szCs w:val="20"/>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 (1)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360,919,248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360,919,248</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Subservicing</w:t>
            </w:r>
          </w:p>
        </w:tc>
        <w:tc>
          <w:tcPr>
            <w:tcW w:w="22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50,360,366</w:t>
            </w:r>
          </w:p>
        </w:tc>
        <w:tc>
          <w:tcPr>
            <w:tcW w:w="1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216,111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50,576,477</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411,279,614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216,111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411,495,725</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340" w:hanging="49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primary servicing UPB of $146.0 billion, $160.8 billion and $160.8 billion at September 30, 2015, December 31, 2014 and September 30, 2014, respectively, for which the Rights to MSRs have been sold to NRZ.</w:t>
      </w:r>
    </w:p>
    <w:p>
      <w:pPr>
        <w:spacing w:after="0" w:line="54"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Residential assets serviced includes foreclosed real estate. Residential assets serviced also includes small-balance commercial assets with a UPB of $1.9 billion, $2.3 billion and $2.4 billion at September 30, 2015, December 31, 2014 and September 30, 2014, respectively. Commercial assets consist of large-balance foreclosed real estate.</w:t>
      </w:r>
    </w:p>
    <w:p>
      <w:pPr>
        <w:spacing w:after="0" w:line="6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or in the event we fail to maintain required servicer ratings, among other provisions. As a result of the economic downturn of recent years, the portfolio delinquency and/or cumulative loss threshold provisions have been breached by many private-label securitizations in our non-Agency servicing portfolio. Terminations as servicer as a result of a breach of any of these provisions have been minimal. In the event we are terminated as servicer and the Rights to MSRs were sold, we are obligated to compensate NRZ. As a result of the transfer of servicing to another party during 2015 related to Rights to MSRs, we were required to reimburse NRZ $2.2 million in accordance with our agreements.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29"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Servicing Revenue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994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servicing and subservicing fees for the three and nine months ended September 30:</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96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 servicing and subservicing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274,089</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331,794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879,098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1,039,033</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Subservicing</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14,354</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30,926</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72,968</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95,509</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288,443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362,720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952,066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1,134,542</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Home Affordable Modification Program (HAMP)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32,318</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37,644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108,698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111,000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Late charges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97,002</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 collection fees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6,682</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25,176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25,573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Custodial accounts (float earnings)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5,235</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12,576</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27,480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49,411</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74,744</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360,017</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465,964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1,203,541</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1,448,096</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Float balances (balances in custodial accounts, which represent collections of principal and interest that we receive from borrowers, are held in escrow by an unaffiliated bank and are excluded from our Unaudited Consolidated Balance Sheets) amounted to $2.0 billion and $3.7 billion at September 30, 2015 and September 30, 2014,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Receivables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 consisted of the following at the dates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6"/>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Government-insured loan claims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52,955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Due from custodial accounts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44,338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11,627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Reimbursable expenses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32,387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servicing receivables (2)</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159,753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29,516</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294,417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126,485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63,572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68,322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from related parties (3)</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58,892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receivables (4)</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30,369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43,690</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388,358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297,389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Allowance for losses (1)</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(26,786)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(26,793)</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361,572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270,596</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260" w:hanging="492"/>
        <w:spacing w:after="0" w:line="272" w:lineRule="auto"/>
        <w:tabs>
          <w:tab w:leader="none" w:pos="5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September 30, 2015 and December 31, 2014, the total allowance for losses includes $26.8 million and $26.8 million, respectively, related to receivables of our Servicing business. Allowance for losses related to defaulted FHA or VA insured loans repurchased from Ginnie Mae guaranteed securitizations (government-insured loan claims) at September 30, 2015 and December 31, 2014 were $13.2 million and $10.0 million, respectively.</w:t>
      </w:r>
    </w:p>
    <w:p>
      <w:pPr>
        <w:spacing w:after="0" w:line="1" w:lineRule="exact"/>
        <w:rPr>
          <w:rFonts w:ascii="Times New Roman" w:cs="Times New Roman" w:eastAsia="Times New Roman" w:hAnsi="Times New Roman"/>
          <w:sz w:val="17"/>
          <w:szCs w:val="17"/>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2015, other servicing receivables include $133.8 million related to sales of MSRs and advances.</w:t>
      </w:r>
    </w:p>
    <w:p>
      <w:pPr>
        <w:spacing w:after="0" w:line="9" w:lineRule="exact"/>
        <w:rPr>
          <w:rFonts w:ascii="Times New Roman" w:cs="Times New Roman" w:eastAsia="Times New Roman" w:hAnsi="Times New Roman"/>
          <w:sz w:val="18"/>
          <w:szCs w:val="18"/>
          <w:color w:val="auto"/>
        </w:rPr>
      </w:pPr>
    </w:p>
    <w:p>
      <w:pPr>
        <w:ind w:left="500" w:right="140" w:hanging="492"/>
        <w:spacing w:after="0" w:line="250"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that we reported as related parties at December 31, 2014 are no longer considered to be related parties, and amounts receivable from them are now reported within Other receivables.</w:t>
      </w:r>
    </w:p>
    <w:p>
      <w:pPr>
        <w:ind w:left="500" w:right="20" w:hanging="492"/>
        <w:spacing w:after="0" w:line="255"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2014, other receivables include $28.8 million related to losses to be indemnified under the terms of the Homeward merger agreement. On March 19, 2015, we reached an agreement with the former owner of Homeward for the final settlement of all indemnification claims under the merger agreement and received $38.1 million in cash.</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Other Assets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consisted of the following at the dates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6"/>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Contingent loan repurchase asset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310,373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274,265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service accounts (2)</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91,974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57,572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17,957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lender fees and debt issuance costs,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31,337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18,247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16,720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income taxes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16,450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Derivatives,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6,065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backed securities, at fair value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16,655</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28,708</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609,279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490,811</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20" w:hanging="492"/>
        <w:spacing w:after="0" w:line="253"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Ginnie Mae EBO Transactions,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 on our consolidated balance sheet and establish a corresponding repurchase liability. With respect to those loans that we have the right, but not the obligation, to repurchase under the applicable agreement, this requirement applies regardless of whether we have any intention to repurchase the loan. We re-recognized mortgage loans in Other assets and the corresponding liability in Other liabilities.</w:t>
      </w:r>
    </w:p>
    <w:p>
      <w:pPr>
        <w:spacing w:after="0" w:line="1" w:lineRule="exact"/>
        <w:rPr>
          <w:rFonts w:ascii="Times New Roman" w:cs="Times New Roman" w:eastAsia="Times New Roman" w:hAnsi="Times New Roman"/>
          <w:sz w:val="18"/>
          <w:szCs w:val="18"/>
          <w:color w:val="auto"/>
        </w:rPr>
      </w:pPr>
    </w:p>
    <w:p>
      <w:pPr>
        <w:ind w:left="500" w:right="20" w:hanging="492"/>
        <w:spacing w:after="0" w:line="253"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advance funding financing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match funded advance facilities and certain of our warehouse facilities to provide for possible shortfalls in the funds available to pay certain expenses and interest. The funds related to match funded facilities are held in interest earning accounts in the name of the SPE created in connection with the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Borrowings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Match Funded Liabilities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Match funded liabilities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Borrowing</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7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Borrowing Type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Maturity (1)</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140" w:type="dxa"/>
            <w:vAlign w:val="bottom"/>
          </w:tcPr>
          <w:p>
            <w:pPr>
              <w:spacing w:after="0"/>
              <w:rPr>
                <w:sz w:val="20"/>
                <w:szCs w:val="20"/>
                <w:color w:val="auto"/>
              </w:rPr>
            </w:pP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Capacity (2)</w:t>
            </w: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27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Ocwen Freddie Servicer Advance</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Receivables Trust Series 2012-</w:t>
            </w:r>
          </w:p>
        </w:tc>
        <w:tc>
          <w:tcPr>
            <w:tcW w:w="13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(3) + 175</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61"/>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ADV1 (4)</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bps</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 2017</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 2015</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gridSpan w:val="3"/>
            <w:shd w:val="clear" w:color="auto" w:fill="EAF9E8"/>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Borders>
              <w:bottom w:val="single" w:sz="8" w:color="EAF9E8"/>
            </w:tcBorders>
            <w:gridSpan w:val="3"/>
            <w:shd w:val="clear" w:color="auto" w:fill="EAF9E8"/>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373,080</w:t>
            </w:r>
          </w:p>
        </w:tc>
      </w:tr>
      <w:tr>
        <w:trPr>
          <w:trHeight w:val="205"/>
        </w:trPr>
        <w:tc>
          <w:tcPr>
            <w:tcW w:w="27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Ocwen Servicer Advance Funding</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34"/>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(SBC) Note (5)</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+ 300 bps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Dec. 2015</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 2014</w:t>
            </w:r>
          </w:p>
        </w:tc>
        <w:tc>
          <w:tcPr>
            <w:tcW w:w="140" w:type="dxa"/>
            <w:vAlign w:val="bottom"/>
          </w:tcPr>
          <w:p>
            <w:pPr>
              <w:spacing w:after="0"/>
              <w:rPr>
                <w:sz w:val="20"/>
                <w:szCs w:val="20"/>
                <w:color w:val="auto"/>
              </w:rPr>
            </w:pP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r>
      <w:tr>
        <w:trPr>
          <w:trHeight w:val="27"/>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5"/>
        </w:trPr>
        <w:tc>
          <w:tcPr>
            <w:tcW w:w="2760" w:type="dxa"/>
            <w:vAlign w:val="bottom"/>
            <w:gridSpan w:val="2"/>
            <w:shd w:val="clear" w:color="auto" w:fill="EAF9E8"/>
          </w:tcPr>
          <w:p>
            <w:pPr>
              <w:ind w:left="40"/>
              <w:spacing w:after="0" w:line="205" w:lineRule="exact"/>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4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300" w:type="dxa"/>
            <w:vAlign w:val="bottom"/>
            <w:shd w:val="clear" w:color="auto" w:fill="EAF9E8"/>
          </w:tcPr>
          <w:p>
            <w:pPr>
              <w:spacing w:after="0"/>
              <w:rPr>
                <w:sz w:val="17"/>
                <w:szCs w:val="17"/>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Series 2013-VF2,</w:t>
            </w:r>
          </w:p>
        </w:tc>
        <w:tc>
          <w:tcPr>
            <w:tcW w:w="13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Cost of Funds +</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41"/>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Class A (6)</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191 bps</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Times New Roman" w:cs="Times New Roman" w:eastAsia="Times New Roman" w:hAnsi="Times New Roman"/>
                <w:sz w:val="18"/>
                <w:szCs w:val="18"/>
                <w:color w:val="auto"/>
                <w:w w:val="98"/>
              </w:rPr>
              <w:t>Oct. 2045</w:t>
            </w:r>
          </w:p>
        </w:tc>
        <w:tc>
          <w:tcPr>
            <w:tcW w:w="15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Oct. 2015</w:t>
            </w:r>
          </w:p>
        </w:tc>
        <w:tc>
          <w:tcPr>
            <w:tcW w:w="14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gridSpan w:val="3"/>
            <w:shd w:val="clear" w:color="auto" w:fill="EAF9E8"/>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EAF9E8"/>
            </w:tcBorders>
            <w:gridSpan w:val="3"/>
            <w:shd w:val="clear" w:color="auto" w:fill="EAF9E8"/>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519,634</w:t>
            </w:r>
          </w:p>
        </w:tc>
      </w:tr>
      <w:tr>
        <w:trPr>
          <w:trHeight w:val="22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Series 2013-VF2,</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Cost of Funds +</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B (6)</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343 bps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Oct. 2045</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Oct. 2015</w:t>
            </w:r>
          </w:p>
        </w:tc>
        <w:tc>
          <w:tcPr>
            <w:tcW w:w="140" w:type="dxa"/>
            <w:vAlign w:val="bottom"/>
          </w:tcPr>
          <w:p>
            <w:pPr>
              <w:spacing w:after="0"/>
              <w:rPr>
                <w:sz w:val="20"/>
                <w:szCs w:val="20"/>
                <w:color w:val="auto"/>
              </w:rPr>
            </w:pP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32,919</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27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 Series 2014-VF3,</w:t>
            </w:r>
          </w:p>
        </w:tc>
        <w:tc>
          <w:tcPr>
            <w:tcW w:w="13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+ 235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r>
      <w:tr>
        <w:trPr>
          <w:trHeight w:val="241"/>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Class A (7)</w:t>
            </w:r>
          </w:p>
        </w:tc>
        <w:tc>
          <w:tcPr>
            <w:tcW w:w="1260" w:type="dxa"/>
            <w:vAlign w:val="bottom"/>
            <w:tcBorders>
              <w:bottom w:val="single" w:sz="8" w:color="EAF9E8"/>
            </w:tcBorders>
            <w:shd w:val="clear" w:color="auto" w:fill="EAF9E8"/>
          </w:tcPr>
          <w:p>
            <w:pPr>
              <w:jc w:val="right"/>
              <w:ind w:right="4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5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 2016</w:t>
            </w:r>
          </w:p>
        </w:tc>
        <w:tc>
          <w:tcPr>
            <w:tcW w:w="1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100,547</w:t>
            </w:r>
          </w:p>
        </w:tc>
        <w:tc>
          <w:tcPr>
            <w:tcW w:w="10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263,244</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552,553</w:t>
            </w:r>
          </w:p>
        </w:tc>
      </w:tr>
      <w:tr>
        <w:trPr>
          <w:trHeight w:val="45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Borrowing</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7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Borrowing Type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Maturity (1)</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Capacity (2)</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 Series 2014-VF3,</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+ 300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B (7)</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12,551</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7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 Series 2014-VF3,</w:t>
            </w:r>
          </w:p>
        </w:tc>
        <w:tc>
          <w:tcPr>
            <w:tcW w:w="13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+ 425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41"/>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Class C (7)</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 Series 2014-VF3,</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+ 575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D (7)</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13,572</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36,503</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7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 Series 2014-VF4, Class</w:t>
            </w:r>
          </w:p>
        </w:tc>
        <w:tc>
          <w:tcPr>
            <w:tcW w:w="13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+ 235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41"/>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A (8)</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100,547</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263,244</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552,553</w:t>
            </w:r>
          </w:p>
        </w:tc>
      </w:tr>
      <w:tr>
        <w:trPr>
          <w:trHeight w:val="22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 Series 2014-VF4, Class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+ 300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 (8)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12,551</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7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 Series 2014-VF4, Class</w:t>
            </w:r>
          </w:p>
        </w:tc>
        <w:tc>
          <w:tcPr>
            <w:tcW w:w="13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+ 425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41"/>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C (8)</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 Series 2014-VF4, Class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+ 575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 (8)</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13,572</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36,503</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7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 Series 2015-VF5, Class</w:t>
            </w:r>
          </w:p>
        </w:tc>
        <w:tc>
          <w:tcPr>
            <w:tcW w:w="13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+ 235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41"/>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A (9)</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100,548</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263,243</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 Series 2015-VF5, Class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+ 300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 (9)</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12,551</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7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 Series 2015-VF5, Class</w:t>
            </w:r>
          </w:p>
        </w:tc>
        <w:tc>
          <w:tcPr>
            <w:tcW w:w="13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+ 425 bps</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41"/>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C (9)</w:t>
            </w:r>
          </w:p>
        </w:tc>
        <w:tc>
          <w:tcPr>
            <w:tcW w:w="12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 Series 2015-VF5, Class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1ML + 575 bps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 (9)</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13,572</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36,503</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7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 Series 2015-T1, Class A</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41"/>
        </w:trPr>
        <w:tc>
          <w:tcPr>
            <w:tcW w:w="2640" w:type="dxa"/>
            <w:vAlign w:val="bottom"/>
            <w:tcBorders>
              <w:bottom w:val="single" w:sz="8" w:color="EAF9E8"/>
            </w:tcBorders>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2.5365%</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244,809</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 Series 2015-T1, Class B</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3.0307%</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10,930</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7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 Series 2015-T1, Class C</w:t>
            </w: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41"/>
        </w:trPr>
        <w:tc>
          <w:tcPr>
            <w:tcW w:w="2640" w:type="dxa"/>
            <w:vAlign w:val="bottom"/>
            <w:tcBorders>
              <w:bottom w:val="single" w:sz="8" w:color="EAF9E8"/>
            </w:tcBorders>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3.5240%</w:t>
            </w:r>
          </w:p>
        </w:tc>
        <w:tc>
          <w:tcPr>
            <w:tcW w:w="12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3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 Series 2015-T1, Class 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4.1000%</w:t>
            </w:r>
          </w:p>
        </w:tc>
        <w:tc>
          <w:tcPr>
            <w:tcW w:w="1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2046</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 2016</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32,250</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2760" w:type="dxa"/>
            <w:vAlign w:val="bottom"/>
            <w:gridSpan w:val="2"/>
            <w:shd w:val="clear" w:color="auto" w:fill="EAF9E8"/>
          </w:tcPr>
          <w:p>
            <w:pPr>
              <w:ind w:left="180"/>
              <w:spacing w:after="0" w:line="205" w:lineRule="exact"/>
              <w:rPr>
                <w:sz w:val="20"/>
                <w:szCs w:val="20"/>
                <w:color w:val="auto"/>
              </w:rPr>
            </w:pPr>
            <w:r>
              <w:rPr>
                <w:rFonts w:ascii="Times New Roman" w:cs="Times New Roman" w:eastAsia="Times New Roman" w:hAnsi="Times New Roman"/>
                <w:sz w:val="18"/>
                <w:szCs w:val="18"/>
                <w:color w:val="auto"/>
              </w:rPr>
              <w:t>Total Ocwen Master Advance</w:t>
            </w: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4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60" w:type="dxa"/>
            <w:vAlign w:val="bottom"/>
            <w:shd w:val="clear" w:color="auto" w:fill="EAF9E8"/>
          </w:tcPr>
          <w:p>
            <w:pPr>
              <w:spacing w:after="0"/>
              <w:rPr>
                <w:sz w:val="17"/>
                <w:szCs w:val="17"/>
                <w:color w:val="auto"/>
              </w:rPr>
            </w:pPr>
          </w:p>
        </w:tc>
      </w:tr>
      <w:tr>
        <w:trPr>
          <w:trHeight w:val="261"/>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Receivables Trust (OMART)</w:t>
            </w:r>
          </w:p>
        </w:tc>
        <w:tc>
          <w:tcPr>
            <w:tcW w:w="12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371,632</w:t>
            </w: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1,278,368</w:t>
            </w:r>
          </w:p>
        </w:tc>
        <w:tc>
          <w:tcPr>
            <w:tcW w:w="10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1,657,659</w:t>
            </w:r>
          </w:p>
        </w:tc>
      </w:tr>
      <w:tr>
        <w:trPr>
          <w:trHeight w:val="205"/>
        </w:trPr>
        <w:tc>
          <w:tcPr>
            <w:tcW w:w="2760" w:type="dxa"/>
            <w:vAlign w:val="bottom"/>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Series 2014-VF1,</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Cost of Funds +</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2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A</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275 bps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Dec. 2045</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Dec. 2015</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6,762</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16,548</w:t>
            </w: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21,192</w:t>
            </w: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5"/>
        </w:trPr>
        <w:tc>
          <w:tcPr>
            <w:tcW w:w="276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60" w:type="dxa"/>
            <w:vAlign w:val="bottom"/>
            <w:shd w:val="clear" w:color="auto" w:fill="EAF9E8"/>
          </w:tcPr>
          <w:p>
            <w:pPr>
              <w:spacing w:after="0"/>
              <w:rPr>
                <w:sz w:val="19"/>
                <w:szCs w:val="19"/>
                <w:color w:val="auto"/>
              </w:rPr>
            </w:pPr>
          </w:p>
        </w:tc>
      </w:tr>
      <w:tr>
        <w:trPr>
          <w:trHeight w:val="216"/>
        </w:trPr>
        <w:tc>
          <w:tcPr>
            <w:tcW w:w="276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Series 2014-VF1,</w:t>
            </w:r>
          </w:p>
        </w:tc>
        <w:tc>
          <w:tcPr>
            <w:tcW w:w="138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Cost of Funds +</w:t>
            </w:r>
          </w:p>
        </w:tc>
        <w:tc>
          <w:tcPr>
            <w:tcW w:w="1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r>
      <w:tr>
        <w:trPr>
          <w:trHeight w:val="241"/>
        </w:trPr>
        <w:tc>
          <w:tcPr>
            <w:tcW w:w="276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Class B</w:t>
            </w:r>
          </w:p>
        </w:tc>
        <w:tc>
          <w:tcPr>
            <w:tcW w:w="13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325 bps</w:t>
            </w:r>
          </w:p>
        </w:tc>
        <w:tc>
          <w:tcPr>
            <w:tcW w:w="128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Times New Roman" w:cs="Times New Roman" w:eastAsia="Times New Roman" w:hAnsi="Times New Roman"/>
                <w:sz w:val="18"/>
                <w:szCs w:val="18"/>
                <w:color w:val="auto"/>
                <w:w w:val="99"/>
              </w:rPr>
              <w:t>Dec. 2045</w:t>
            </w:r>
          </w:p>
        </w:tc>
        <w:tc>
          <w:tcPr>
            <w:tcW w:w="160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Times New Roman" w:cs="Times New Roman" w:eastAsia="Times New Roman" w:hAnsi="Times New Roman"/>
                <w:sz w:val="18"/>
                <w:szCs w:val="18"/>
                <w:color w:val="auto"/>
                <w:w w:val="99"/>
              </w:rPr>
              <w:t>Dec. 2015</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11,482</w:t>
            </w:r>
          </w:p>
        </w:tc>
        <w:tc>
          <w:tcPr>
            <w:tcW w:w="12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13,598</w:t>
            </w:r>
          </w:p>
        </w:tc>
      </w:tr>
      <w:tr>
        <w:trPr>
          <w:trHeight w:val="45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Available</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Borrowing</w:t>
            </w: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Borrowing Type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Maturity (1)</w:t>
            </w:r>
          </w:p>
        </w:tc>
        <w:tc>
          <w:tcPr>
            <w:tcW w:w="17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Date (1)</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Capacity (2)</w:t>
            </w: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7"/>
        </w:trPr>
        <w:tc>
          <w:tcPr>
            <w:tcW w:w="2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2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Series 2014-VF1,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Cost of Funds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C</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375 bps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 2045</w:t>
            </w:r>
          </w:p>
        </w:tc>
        <w:tc>
          <w:tcPr>
            <w:tcW w:w="17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Dec. 2015</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10,224</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2680" w:type="dxa"/>
            <w:vAlign w:val="bottom"/>
            <w:gridSpan w:val="2"/>
            <w:shd w:val="clear" w:color="auto" w:fill="EAF9E8"/>
          </w:tcPr>
          <w:p>
            <w:pPr>
              <w:jc w:val="center"/>
              <w:ind w:right="46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68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Series 2014-VF1,</w:t>
            </w:r>
          </w:p>
        </w:tc>
        <w:tc>
          <w:tcPr>
            <w:tcW w:w="1340" w:type="dxa"/>
            <w:vAlign w:val="bottom"/>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Cost of Funds +</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61"/>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Class D</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470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 2045</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Dec. 2015</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13,366</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11,274</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14,000</w:t>
            </w:r>
          </w:p>
        </w:tc>
      </w:tr>
      <w:tr>
        <w:trPr>
          <w:trHeight w:val="205"/>
        </w:trPr>
        <w:tc>
          <w:tcPr>
            <w:tcW w:w="2680" w:type="dxa"/>
            <w:vAlign w:val="bottom"/>
            <w:gridSpan w:val="2"/>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8"/>
              </w:rPr>
              <w:t>Total Ocwen Servicer Advance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6"/>
        </w:trPr>
        <w:tc>
          <w:tcPr>
            <w:tcW w:w="26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8"/>
              </w:rPr>
              <w:t>Receivables Trust III</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(OSARTIII) (10)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46,970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59,014</w:t>
            </w:r>
          </w:p>
        </w:tc>
      </w:tr>
      <w:tr>
        <w:trPr>
          <w:trHeight w:val="27"/>
        </w:trPr>
        <w:tc>
          <w:tcPr>
            <w:tcW w:w="2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5"/>
        </w:trPr>
        <w:tc>
          <w:tcPr>
            <w:tcW w:w="2680" w:type="dxa"/>
            <w:vAlign w:val="bottom"/>
            <w:gridSpan w:val="2"/>
            <w:shd w:val="clear" w:color="auto" w:fill="EAF9E8"/>
          </w:tcPr>
          <w:p>
            <w:pPr>
              <w:jc w:val="center"/>
              <w:ind w:right="460"/>
              <w:spacing w:after="0" w:line="205" w:lineRule="exact"/>
              <w:rPr>
                <w:sz w:val="20"/>
                <w:szCs w:val="20"/>
                <w:color w:val="auto"/>
              </w:rPr>
            </w:pPr>
            <w:r>
              <w:rPr>
                <w:rFonts w:ascii="Times New Roman" w:cs="Times New Roman" w:eastAsia="Times New Roman" w:hAnsi="Times New Roman"/>
                <w:sz w:val="18"/>
                <w:szCs w:val="18"/>
                <w:color w:val="auto"/>
              </w:rPr>
              <w:t>Advance Receivables Backed</w:t>
            </w: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216"/>
        </w:trPr>
        <w:tc>
          <w:tcPr>
            <w:tcW w:w="268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Series 2015-VF1,</w:t>
            </w:r>
          </w:p>
        </w:tc>
        <w:tc>
          <w:tcPr>
            <w:tcW w:w="1340" w:type="dxa"/>
            <w:vAlign w:val="bottom"/>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1ML + 212.5</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1"/>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Class A</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5"/>
              </w:rPr>
              <w:t>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 2046</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Jun. 2016</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22,661</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159,539</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Series 2015-VF1,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B</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1ML + 300 bps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 2046</w:t>
            </w:r>
          </w:p>
        </w:tc>
        <w:tc>
          <w:tcPr>
            <w:tcW w:w="17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Jun. 2016</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15,946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2680" w:type="dxa"/>
            <w:vAlign w:val="bottom"/>
            <w:gridSpan w:val="2"/>
            <w:shd w:val="clear" w:color="auto" w:fill="EAF9E8"/>
          </w:tcPr>
          <w:p>
            <w:pPr>
              <w:jc w:val="center"/>
              <w:ind w:right="46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68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Series 2015-VF1,</w:t>
            </w: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1"/>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Class C</w:t>
            </w:r>
          </w:p>
        </w:tc>
        <w:tc>
          <w:tcPr>
            <w:tcW w:w="13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1ML + 350 bps</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 2046</w:t>
            </w:r>
          </w:p>
        </w:tc>
        <w:tc>
          <w:tcPr>
            <w:tcW w:w="172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Jun. 2016</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Series 2015-VF1,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1ML + 425 bps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 2046</w:t>
            </w:r>
          </w:p>
        </w:tc>
        <w:tc>
          <w:tcPr>
            <w:tcW w:w="17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Jun. 2016</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11,149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2680" w:type="dxa"/>
            <w:vAlign w:val="bottom"/>
            <w:gridSpan w:val="2"/>
            <w:shd w:val="clear" w:color="auto" w:fill="EAF9E8"/>
          </w:tcPr>
          <w:p>
            <w:pPr>
              <w:jc w:val="center"/>
              <w:ind w:right="46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68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Series 2015-T1,</w:t>
            </w: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1"/>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Class A</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 2045</w:t>
            </w:r>
          </w:p>
        </w:tc>
        <w:tc>
          <w:tcPr>
            <w:tcW w:w="172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Nov. 2015</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57,100</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Series 2015-T1,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B</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 2045</w:t>
            </w:r>
          </w:p>
        </w:tc>
        <w:tc>
          <w:tcPr>
            <w:tcW w:w="17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Nov. 2015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2680" w:type="dxa"/>
            <w:vAlign w:val="bottom"/>
            <w:gridSpan w:val="2"/>
            <w:shd w:val="clear" w:color="auto" w:fill="EAF9E8"/>
          </w:tcPr>
          <w:p>
            <w:pPr>
              <w:jc w:val="center"/>
              <w:ind w:right="46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r>
      <w:tr>
        <w:trPr>
          <w:trHeight w:val="216"/>
        </w:trPr>
        <w:tc>
          <w:tcPr>
            <w:tcW w:w="2680" w:type="dxa"/>
            <w:vAlign w:val="bottom"/>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Notes, Series 2015-T1,</w:t>
            </w: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r>
      <w:tr>
        <w:trPr>
          <w:trHeight w:val="241"/>
        </w:trPr>
        <w:tc>
          <w:tcPr>
            <w:tcW w:w="268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color w:val="auto"/>
              </w:rPr>
              <w:t>Class C</w:t>
            </w:r>
          </w:p>
        </w:tc>
        <w:tc>
          <w:tcPr>
            <w:tcW w:w="12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 2045</w:t>
            </w:r>
          </w:p>
        </w:tc>
        <w:tc>
          <w:tcPr>
            <w:tcW w:w="172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Nov. 2015</w:t>
            </w: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Advance Receivables Backed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Notes, Series 2015-T1,</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Nov. 2045</w:t>
            </w:r>
          </w:p>
        </w:tc>
        <w:tc>
          <w:tcPr>
            <w:tcW w:w="17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Nov. 2015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5"/>
        </w:trPr>
        <w:tc>
          <w:tcPr>
            <w:tcW w:w="2680" w:type="dxa"/>
            <w:vAlign w:val="bottom"/>
            <w:gridSpan w:val="2"/>
            <w:shd w:val="clear" w:color="auto" w:fill="EAF9E8"/>
          </w:tcPr>
          <w:p>
            <w:pPr>
              <w:jc w:val="center"/>
              <w:ind w:right="120"/>
              <w:spacing w:after="0" w:line="205" w:lineRule="exact"/>
              <w:rPr>
                <w:sz w:val="20"/>
                <w:szCs w:val="20"/>
                <w:color w:val="auto"/>
              </w:rPr>
            </w:pPr>
            <w:r>
              <w:rPr>
                <w:rFonts w:ascii="Times New Roman" w:cs="Times New Roman" w:eastAsia="Times New Roman" w:hAnsi="Times New Roman"/>
                <w:sz w:val="18"/>
                <w:szCs w:val="18"/>
                <w:color w:val="auto"/>
                <w:w w:val="99"/>
              </w:rPr>
              <w:t>Total Ocwen Freddie Advance</w:t>
            </w:r>
          </w:p>
        </w:tc>
        <w:tc>
          <w:tcPr>
            <w:tcW w:w="12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3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r>
      <w:tr>
        <w:trPr>
          <w:trHeight w:val="261"/>
        </w:trPr>
        <w:tc>
          <w:tcPr>
            <w:tcW w:w="268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Funding Facility (OFAF) (11)</w:t>
            </w: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30,492</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264,508</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75"/>
        </w:trPr>
        <w:tc>
          <w:tcPr>
            <w:tcW w:w="258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1720" w:type="dxa"/>
            <w:vAlign w:val="bottom"/>
            <w:tcBorders>
              <w:bottom w:val="single" w:sz="8" w:color="EAF9E8"/>
            </w:tcBorders>
            <w:gridSpan w:val="3"/>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442,654</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1,589,846</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2,090,247</w:t>
            </w:r>
          </w:p>
        </w:tc>
      </w:tr>
      <w:tr>
        <w:trPr>
          <w:trHeight w:val="20"/>
        </w:trPr>
        <w:tc>
          <w:tcPr>
            <w:tcW w:w="2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4"/>
        </w:trPr>
        <w:tc>
          <w:tcPr>
            <w:tcW w:w="2680" w:type="dxa"/>
            <w:vAlign w:val="bottom"/>
            <w:tcBorders>
              <w:bottom w:val="single" w:sz="8" w:color="EAF9E8"/>
            </w:tcBorders>
            <w:gridSpan w:val="2"/>
            <w:shd w:val="clear" w:color="auto" w:fill="EAF9E8"/>
          </w:tcPr>
          <w:p>
            <w:pPr>
              <w:jc w:val="center"/>
              <w:ind w:right="420"/>
              <w:spacing w:after="0"/>
              <w:rPr>
                <w:sz w:val="20"/>
                <w:szCs w:val="20"/>
                <w:color w:val="auto"/>
              </w:rPr>
            </w:pPr>
            <w:r>
              <w:rPr>
                <w:rFonts w:ascii="Times New Roman" w:cs="Times New Roman" w:eastAsia="Times New Roman" w:hAnsi="Times New Roman"/>
                <w:sz w:val="18"/>
                <w:szCs w:val="18"/>
                <w:color w:val="auto"/>
                <w:w w:val="99"/>
              </w:rPr>
              <w:t>Weighted average interest rate</w:t>
            </w:r>
          </w:p>
        </w:tc>
        <w:tc>
          <w:tcPr>
            <w:tcW w:w="12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13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80" w:hanging="492"/>
        <w:spacing w:after="0" w:line="254"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date of our advance financing facilities is the date on which the revolving period ends under each advance financing facility note and repayment of the outstanding balance must begin if the note is not renewed or extended. The maturity date is the date on which all outstanding balances must be repaid. In each of our advance facilities, there are multiple notes outstanding. For each note, after the amortization date, all collections that represent the repayment of advances pledged to the facility must be applied to reduce the balance of the note(s) outstanding, and any new advances are ineligible to be financed.</w:t>
      </w:r>
    </w:p>
    <w:p>
      <w:pPr>
        <w:spacing w:after="0" w:line="3" w:lineRule="exact"/>
        <w:rPr>
          <w:rFonts w:ascii="Times New Roman" w:cs="Times New Roman" w:eastAsia="Times New Roman" w:hAnsi="Times New Roman"/>
          <w:sz w:val="18"/>
          <w:szCs w:val="18"/>
          <w:color w:val="auto"/>
        </w:rPr>
      </w:pPr>
    </w:p>
    <w:p>
      <w:pPr>
        <w:ind w:left="500" w:right="320" w:hanging="492"/>
        <w:spacing w:after="0" w:line="25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capacity is available to us only to the extent that we have pledged collateral available to borrow against. At September 30, 2015, $176.9 million of the total borrowing capacity was available to us based on the amount of eligible collateral that had been pledged.</w:t>
      </w: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1-Month LIBOR (1ML) was 0.19% and 0.17% at September 30, 2015 and December 31, 2014, respectively.</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this facility in full in June 2015 from the proceeds of the OFAF facility.</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voluntarily terminated this facility on January 15, 2015.</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2013-VF2 Notes were repaid in full on September 18, 2015.</w:t>
      </w:r>
    </w:p>
    <w:p>
      <w:pPr>
        <w:sectPr>
          <w:pgSz w:w="11900" w:h="16838" w:orient="portrait"/>
          <w:cols w:equalWidth="0" w:num="1">
            <w:col w:w="11420"/>
          </w:cols>
          <w:pgMar w:left="240" w:top="738"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738" w:right="239" w:bottom="1440" w:gutter="0" w:footer="0" w:header="0"/>
          <w:type w:val="continuous"/>
        </w:sectPr>
      </w:pPr>
    </w:p>
    <w:bookmarkStart w:id="32" w:name="page33"/>
    <w:bookmarkEnd w:id="32"/>
    <w:p>
      <w:pPr>
        <w:ind w:left="500" w:right="140" w:hanging="492"/>
        <w:spacing w:after="0" w:line="257"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18, 2015, the combined maximum borrowing capacity of Series 2014-VF3 Notes, a series of variable funding notes under our Ocwen Master Advance Receivables Trust (OMART) facility, was reduced to $450.0 million, and the Class B, C and D Notes were issued. There is a floor of 75 bps for 1 ML in determining the interest rate for variable rate Notes.</w:t>
      </w:r>
    </w:p>
    <w:p>
      <w:pPr>
        <w:spacing w:after="0" w:line="1" w:lineRule="exact"/>
        <w:rPr>
          <w:rFonts w:ascii="Times New Roman" w:cs="Times New Roman" w:eastAsia="Times New Roman" w:hAnsi="Times New Roman"/>
          <w:sz w:val="18"/>
          <w:szCs w:val="18"/>
          <w:color w:val="auto"/>
        </w:rPr>
      </w:pPr>
    </w:p>
    <w:p>
      <w:pPr>
        <w:ind w:left="500" w:right="80" w:hanging="492"/>
        <w:spacing w:after="0" w:line="25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July 1, 2015, the single outstanding Series 2014-VF4 Note under our OMART facility was replaced by four Notes - Class A, B, C and D. On September 18, 2015, the combined maximum borrowing capacity of the Series 2014-VF4 Notes was reduced to $450.0 million. There is a floor of 75 bps for 1 ML in determining the interest rate for variable rate Notes.</w:t>
      </w:r>
    </w:p>
    <w:p>
      <w:pPr>
        <w:spacing w:after="0" w:line="1" w:lineRule="exact"/>
        <w:rPr>
          <w:rFonts w:ascii="Times New Roman" w:cs="Times New Roman" w:eastAsia="Times New Roman" w:hAnsi="Times New Roman"/>
          <w:sz w:val="18"/>
          <w:szCs w:val="18"/>
          <w:color w:val="auto"/>
        </w:rPr>
      </w:pPr>
    </w:p>
    <w:p>
      <w:pPr>
        <w:ind w:left="500" w:right="180" w:hanging="492"/>
        <w:spacing w:after="0" w:line="25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2015-VF5 Notes and the Series 2015-T1 Notes under our OMART facility were issued on September 18, 2015. Under the terms of the agreement, we must continue to borrow the full amount of the Series 2015-T1 Notes until the amortization date. If there is insufficient collateral to support the level of borrowing, the excess cash proceeds are not distributed to Ocwen but are held by the trustee, and interest expense continues to be based on the full amount of the term notes. There is a floor of 75 bps for 1 ML in determining the interest for variable rate Notes.</w:t>
      </w:r>
    </w:p>
    <w:p>
      <w:pPr>
        <w:spacing w:after="0" w:line="1" w:lineRule="exact"/>
        <w:rPr>
          <w:rFonts w:ascii="Times New Roman" w:cs="Times New Roman" w:eastAsia="Times New Roman" w:hAnsi="Times New Roman"/>
          <w:sz w:val="18"/>
          <w:szCs w:val="18"/>
          <w:color w:val="auto"/>
        </w:rPr>
      </w:pPr>
    </w:p>
    <w:p>
      <w:pPr>
        <w:ind w:left="500" w:right="320" w:hanging="492"/>
        <w:spacing w:after="0" w:line="25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23, 2015, the maximum borrowing under the Ocwen Servicer Advance Receivables Trust III (OSARTIII) facility decreases by $6.3 million per month until it is reduced to $75.0 million.</w:t>
      </w:r>
    </w:p>
    <w:p>
      <w:pPr>
        <w:ind w:left="500" w:hanging="492"/>
        <w:spacing w:after="0" w:line="253"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Ocwen Freddie Advance Funding Facility (OFAF) facility on June 10, 2015. Under the terms of the agreement, we must continue to borrow the full amount of the Series 2015-T1 and Series 2015-T2 Notes until the amortization date. If there is insufficient collateral to support the level of borrowing, the excess cash proceeds are not distributed to Ocwen but are held by the trustee, and interest expense continues to be based on the full amount of the term notes. The Series 2015-T2 Notes with a combined borrowing capacity of $155.0 million expired and were fully repaid on September 15, 2015.</w:t>
      </w:r>
    </w:p>
    <w:p>
      <w:pPr>
        <w:spacing w:after="0" w:line="7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Pursuant to our agreements with NRZ, NRZ has assumed the obligation to fund new servicing advances with respect to the Rights to MSRs. We are dependent upon NRZ for financing of the servicing advance obligations for MSRs where we are the servicer. NRZ currently uses advance financing facilities in order to fund a substantial portion of the servicing advances that they are contractually obligated to make pursuant to our agreements with them. As of September 30, 2015, we were the servicer on Rights to MSRs sold to NRZ pertaining to approximately $146.0 billion in UPB and the associated outstanding servicing advances as of such date were approximately $5.1 billion. Should NRZ’s advance financing facilities fail to perform as envisaged or should NRZ otherwise be unable to meet its advance financing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w:t>
      </w:r>
    </w:p>
    <w:p>
      <w:pPr>
        <w:spacing w:after="0" w:line="77"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our sale of advances to NRZ. In the first quarter, a purported owner of notes issued by one of NRZ’s advance financing facilities asserted in letters written to the indenture trustee that events of default had occurred under the indenture governing those notes based on alleged failures by us to comply with applicable laws and regulations and the terms of the servicing agreements to which the applicable servicing advances relate. We vigorously defended ourselves against these allegations. The indenture trustee filed an instructional proceeding in California state probate court seeking an instruction from the court relating to the allegations since, after a seven-month investigation, the trustee had been unable to conclude that an event of default had occurred. On October 14, 2015, the court entered an order declaring and ordering, among other things, that no event of default had occurred under the indenture.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0"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Liabilities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8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Financing liabilities are comprised of the following at the dates indicated: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6"/>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Servicing: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liability – MSRs pledged</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MSRs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560,059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614,441</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4580" w:type="dxa"/>
            <w:vAlign w:val="bottom"/>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Secured Notes, Ocwen Asset Servicing Income Series,</w:t>
            </w: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41"/>
        </w:trPr>
        <w:tc>
          <w:tcPr>
            <w:tcW w:w="4580" w:type="dxa"/>
            <w:vAlign w:val="bottom"/>
            <w:tcBorders>
              <w:bottom w:val="single" w:sz="8" w:color="EAF9E8"/>
            </w:tcBorders>
            <w:gridSpan w:val="2"/>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Series 2014-1 (2)</w:t>
            </w:r>
          </w:p>
        </w:tc>
        <w:tc>
          <w:tcPr>
            <w:tcW w:w="12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7"/>
              </w:rPr>
              <w:t>MSRs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Times New Roman" w:cs="Times New Roman" w:eastAsia="Times New Roman" w:hAnsi="Times New Roman"/>
                <w:sz w:val="18"/>
                <w:szCs w:val="18"/>
                <w:color w:val="auto"/>
                <w:w w:val="99"/>
              </w:rPr>
              <w:t>Feb. 2028</w:t>
            </w: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111,459</w:t>
            </w:r>
          </w:p>
        </w:tc>
      </w:tr>
      <w:tr>
        <w:trPr>
          <w:trHeight w:val="225"/>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Advances 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Liability – Advances Pledged (3)</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loans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88,489</w:t>
            </w: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723,914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814,389</w:t>
            </w:r>
          </w:p>
        </w:tc>
      </w:tr>
      <w:tr>
        <w:trPr>
          <w:trHeight w:val="291"/>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Lending:</w:t>
            </w: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5"/>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Loans held for</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investment</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1ML + 248</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HMBS-related borrowings (4)</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(LHFI)</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bps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2,229,604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1,444,252</w:t>
            </w:r>
          </w:p>
        </w:tc>
      </w:tr>
      <w:tr>
        <w:trPr>
          <w:trHeight w:val="27"/>
        </w:trPr>
        <w:tc>
          <w:tcPr>
            <w:tcW w:w="44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4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2,953,518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2,258,641</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200" w:hanging="492"/>
        <w:spacing w:after="0" w:line="261"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financing liability arose in connection with the NRZ/HLSS Transactions and has no contractual maturity. The balance of the liability is adjusted each reporting period to its fair value based on the present value of the estimated future cash flows underlying the related MSRs.</w:t>
      </w:r>
    </w:p>
    <w:p>
      <w:pPr>
        <w:ind w:left="500" w:right="60" w:hanging="492"/>
        <w:spacing w:after="0" w:line="250"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OASIS noteholders are entitled to receive a monthly payment amount equal to the sum of: (a) the designated servicing fee amount (21 basis points of the UPB of the reference pool of Freddie Mac mortgages); (b) any termination payment amounts; (c) any excess refinance amounts; and (d) the note redemption amounts, each as defined in the indenture supplement for the notes. The notes have a final stated maturity of February 2028. We accounted for this transaction as a financing. Monthly amortization of the liability is estimated using the proportion of monthly projected service fees on the underlying MSRs as a percentage of lifetime projected fees, adjusted for the term of the security.</w:t>
      </w:r>
    </w:p>
    <w:p>
      <w:pPr>
        <w:spacing w:after="0" w:line="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sales of advances in 2014 did not qualify for sales accounting treatment and were accounted for as a financing.</w:t>
      </w:r>
    </w:p>
    <w:p>
      <w:pPr>
        <w:spacing w:after="0" w:line="9" w:lineRule="exact"/>
        <w:rPr>
          <w:rFonts w:ascii="Times New Roman" w:cs="Times New Roman" w:eastAsia="Times New Roman" w:hAnsi="Times New Roman"/>
          <w:sz w:val="18"/>
          <w:szCs w:val="18"/>
          <w:color w:val="auto"/>
        </w:rPr>
      </w:pPr>
    </w:p>
    <w:p>
      <w:pPr>
        <w:ind w:left="500" w:right="20" w:hanging="492"/>
        <w:spacing w:after="0" w:line="261"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due to the holders of beneficial interests in Ginnie Mae guaranteed HMBS. The beneficial interests have no maturity dates, and the borrowings mature as the related loans are repaid.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Secured Borrowings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secured borrowings are comprised of the following at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Available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Borrowing</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8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Servicing:</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25"/>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1-Month Euro-dollar</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rate + 375 bps with 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Eurodollar floor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SSTL (1)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125 bps (1)</w:t>
            </w: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Feb.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705,927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1,277,250</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27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Loans held for</w:t>
            </w:r>
          </w:p>
        </w:tc>
        <w:tc>
          <w:tcPr>
            <w:tcW w:w="16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r>
      <w:tr>
        <w:trPr>
          <w:trHeight w:val="261"/>
        </w:trPr>
        <w:tc>
          <w:tcPr>
            <w:tcW w:w="288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Master repurchase agreement (2)</w:t>
            </w:r>
          </w:p>
        </w:tc>
        <w:tc>
          <w:tcPr>
            <w:tcW w:w="1260" w:type="dxa"/>
            <w:vAlign w:val="bottom"/>
            <w:tcBorders>
              <w:bottom w:val="single" w:sz="8" w:color="EAF9E8"/>
            </w:tcBorders>
            <w:gridSpan w:val="2"/>
            <w:shd w:val="clear" w:color="auto" w:fill="EAF9E8"/>
          </w:tcPr>
          <w:p>
            <w:pPr>
              <w:jc w:val="center"/>
              <w:ind w:right="140"/>
              <w:spacing w:after="0"/>
              <w:rPr>
                <w:sz w:val="20"/>
                <w:szCs w:val="20"/>
                <w:color w:val="auto"/>
              </w:rPr>
            </w:pPr>
            <w:r>
              <w:rPr>
                <w:rFonts w:ascii="Times New Roman" w:cs="Times New Roman" w:eastAsia="Times New Roman" w:hAnsi="Times New Roman"/>
                <w:sz w:val="18"/>
                <w:szCs w:val="18"/>
                <w:color w:val="auto"/>
                <w:w w:val="99"/>
              </w:rPr>
              <w:t>sale (LHFS)</w:t>
            </w:r>
          </w:p>
        </w:tc>
        <w:tc>
          <w:tcPr>
            <w:tcW w:w="17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rPr>
              <w:t>1ML + 200 - 345 bps</w:t>
            </w:r>
          </w:p>
        </w:tc>
        <w:tc>
          <w:tcPr>
            <w:tcW w:w="1260" w:type="dxa"/>
            <w:vAlign w:val="bottom"/>
            <w:tcBorders>
              <w:bottom w:val="single" w:sz="8" w:color="EAF9E8"/>
            </w:tcBorders>
            <w:gridSpan w:val="2"/>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Jul. 2016</w:t>
            </w: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23,871</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26,129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32,018</w:t>
            </w: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732,056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1,309,268</w:t>
            </w:r>
          </w:p>
        </w:tc>
      </w:tr>
      <w:tr>
        <w:trPr>
          <w:trHeight w:val="27"/>
        </w:trPr>
        <w:tc>
          <w:tcPr>
            <w:tcW w:w="274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274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14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60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16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100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1320" w:type="dxa"/>
            <w:vAlign w:val="bottom"/>
            <w:shd w:val="clear" w:color="auto" w:fill="EAF9E8"/>
          </w:tcPr>
          <w:p>
            <w:pPr>
              <w:spacing w:after="0"/>
              <w:rPr>
                <w:sz w:val="14"/>
                <w:szCs w:val="14"/>
                <w:color w:val="auto"/>
              </w:rPr>
            </w:pPr>
          </w:p>
        </w:tc>
        <w:tc>
          <w:tcPr>
            <w:tcW w:w="100" w:type="dxa"/>
            <w:vAlign w:val="bottom"/>
            <w:shd w:val="clear" w:color="auto" w:fill="EAF9E8"/>
          </w:tcPr>
          <w:p>
            <w:pPr>
              <w:spacing w:after="0"/>
              <w:rPr>
                <w:sz w:val="14"/>
                <w:szCs w:val="14"/>
                <w:color w:val="auto"/>
              </w:rPr>
            </w:pPr>
          </w:p>
        </w:tc>
        <w:tc>
          <w:tcPr>
            <w:tcW w:w="180" w:type="dxa"/>
            <w:vAlign w:val="bottom"/>
            <w:shd w:val="clear" w:color="auto" w:fill="EAF9E8"/>
          </w:tcPr>
          <w:p>
            <w:pPr>
              <w:spacing w:after="0"/>
              <w:rPr>
                <w:sz w:val="14"/>
                <w:szCs w:val="14"/>
                <w:color w:val="auto"/>
              </w:rPr>
            </w:pPr>
          </w:p>
        </w:tc>
        <w:tc>
          <w:tcPr>
            <w:tcW w:w="1300" w:type="dxa"/>
            <w:vAlign w:val="bottom"/>
            <w:shd w:val="clear" w:color="auto" w:fill="EAF9E8"/>
          </w:tcPr>
          <w:p>
            <w:pPr>
              <w:spacing w:after="0"/>
              <w:rPr>
                <w:sz w:val="14"/>
                <w:szCs w:val="14"/>
                <w:color w:val="auto"/>
              </w:rPr>
            </w:pPr>
          </w:p>
        </w:tc>
      </w:tr>
      <w:tr>
        <w:trPr>
          <w:trHeight w:val="459"/>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Available</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Borrowing</w:t>
            </w: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7"/>
        </w:trPr>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Lending:</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Master repurchase agreement (3)</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1ML + 200 bps</w:t>
            </w:r>
          </w:p>
        </w:tc>
        <w:tc>
          <w:tcPr>
            <w:tcW w:w="138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 2016</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68,618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131,382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208,010</w:t>
            </w:r>
          </w:p>
        </w:tc>
      </w:tr>
      <w:tr>
        <w:trPr>
          <w:trHeight w:val="243"/>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Participation agreement (4)</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Apr. 2016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46,597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41,646</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Participation agreement (5)</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LHFS</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tcBorders>
              <w:bottom w:val="single" w:sz="8" w:color="EAF9E8"/>
            </w:tcBorders>
            <w:gridSpan w:val="3"/>
            <w:shd w:val="clear" w:color="auto" w:fill="EAF9E8"/>
          </w:tcPr>
          <w:p>
            <w:pPr>
              <w:jc w:val="center"/>
              <w:ind w:right="260"/>
              <w:spacing w:after="0"/>
              <w:rPr>
                <w:sz w:val="20"/>
                <w:szCs w:val="20"/>
                <w:color w:val="auto"/>
              </w:rPr>
            </w:pPr>
            <w:r>
              <w:rPr>
                <w:rFonts w:ascii="Times New Roman" w:cs="Times New Roman" w:eastAsia="Times New Roman" w:hAnsi="Times New Roman"/>
                <w:sz w:val="18"/>
                <w:szCs w:val="18"/>
                <w:color w:val="auto"/>
                <w:w w:val="98"/>
              </w:rPr>
              <w:t>Apr. 2016</w:t>
            </w: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33,864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196</w:t>
            </w:r>
          </w:p>
        </w:tc>
      </w:tr>
      <w:tr>
        <w:trPr>
          <w:trHeight w:val="225"/>
        </w:trPr>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1ML + 175 - 275</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Master repurchase agreement (6)</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bps</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 2015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102,073</w:t>
            </w: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80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Master repurchase agreement (7)</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LHFI</w:t>
            </w:r>
          </w:p>
        </w:tc>
        <w:tc>
          <w:tcPr>
            <w:tcW w:w="16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1ML + 275bps</w:t>
            </w:r>
          </w:p>
        </w:tc>
        <w:tc>
          <w:tcPr>
            <w:tcW w:w="1380" w:type="dxa"/>
            <w:vAlign w:val="bottom"/>
            <w:tcBorders>
              <w:bottom w:val="single" w:sz="8" w:color="EAF9E8"/>
            </w:tcBorders>
            <w:gridSpan w:val="3"/>
            <w:shd w:val="clear" w:color="auto" w:fill="EAF9E8"/>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Jul. 2015</w:t>
            </w: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52,678</w:t>
            </w:r>
          </w:p>
        </w:tc>
      </w:tr>
      <w:tr>
        <w:trPr>
          <w:trHeight w:val="225"/>
        </w:trPr>
        <w:tc>
          <w:tcPr>
            <w:tcW w:w="2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 warehouse agreement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1ML + 275 bps;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2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LHFI</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floor of 350 bps</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May 2016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60,180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23,851</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26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68,618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272,023</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428,454</w:t>
            </w:r>
          </w:p>
        </w:tc>
      </w:tr>
      <w:tr>
        <w:trPr>
          <w:trHeight w:val="169"/>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50"/>
        </w:trPr>
        <w:tc>
          <w:tcPr>
            <w:tcW w:w="26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92,489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1,004,079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1,737,722</w:t>
            </w:r>
          </w:p>
        </w:tc>
      </w:tr>
      <w:tr>
        <w:trPr>
          <w:trHeight w:val="243"/>
        </w:trPr>
        <w:tc>
          <w:tcPr>
            <w:tcW w:w="2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Discount - SSTL</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(4,031)</w:t>
            </w:r>
          </w:p>
        </w:tc>
      </w:tr>
      <w:tr>
        <w:trPr>
          <w:trHeight w:val="27"/>
        </w:trPr>
        <w:tc>
          <w:tcPr>
            <w:tcW w:w="26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268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gridSpan w:val="3"/>
            <w:shd w:val="clear" w:color="auto" w:fill="EAF9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92,489</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1,001,070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1,733,691</w:t>
            </w:r>
          </w:p>
        </w:tc>
      </w:tr>
      <w:tr>
        <w:trPr>
          <w:trHeight w:val="20"/>
        </w:trPr>
        <w:tc>
          <w:tcPr>
            <w:tcW w:w="268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64"/>
        </w:trPr>
        <w:tc>
          <w:tcPr>
            <w:tcW w:w="280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0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13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20" w:hanging="492"/>
        <w:spacing w:after="0" w:line="272" w:lineRule="auto"/>
        <w:tabs>
          <w:tab w:leader="none" w:pos="5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borrowings are secured by a first priority security interest in substantially all of the assets of Ocwen. Borrowings bear interest, at the election of Ocwen, at a rate per annum equal to either (a) the base rate (the greatest of (i) the prime rate in effect on such day, (ii) the federal funds rate in effect on such day plus 0.50% and (iii) the one-month Eurodollar rate (1-Month LIBOR)), plus a margin of 2.75% and subject to a base rate floor of 2.25% or</w:t>
      </w:r>
    </w:p>
    <w:p>
      <w:pPr>
        <w:spacing w:after="0" w:line="1" w:lineRule="exact"/>
        <w:rPr>
          <w:rFonts w:ascii="Times New Roman" w:cs="Times New Roman" w:eastAsia="Times New Roman" w:hAnsi="Times New Roman"/>
          <w:sz w:val="17"/>
          <w:szCs w:val="17"/>
          <w:color w:val="auto"/>
        </w:rPr>
      </w:pPr>
    </w:p>
    <w:p>
      <w:pPr>
        <w:ind w:left="500" w:right="8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one month Eurodollar rate, plus a margin of 3.75% and subject to a one month Eurodollar floor of 1.25%. To date we have elected option (b) to determine the interest rate.</w:t>
      </w:r>
    </w:p>
    <w:p>
      <w:pPr>
        <w:spacing w:after="0" w:line="18" w:lineRule="exact"/>
        <w:rPr>
          <w:sz w:val="20"/>
          <w:szCs w:val="20"/>
          <w:color w:val="auto"/>
        </w:rPr>
      </w:pPr>
    </w:p>
    <w:p>
      <w:pPr>
        <w:ind w:left="500" w:right="20"/>
        <w:spacing w:after="0" w:line="261" w:lineRule="auto"/>
        <w:rPr>
          <w:sz w:val="20"/>
          <w:szCs w:val="20"/>
          <w:color w:val="auto"/>
        </w:rPr>
      </w:pPr>
      <w:r>
        <w:rPr>
          <w:rFonts w:ascii="Times New Roman" w:cs="Times New Roman" w:eastAsia="Times New Roman" w:hAnsi="Times New Roman"/>
          <w:sz w:val="18"/>
          <w:szCs w:val="18"/>
          <w:color w:val="auto"/>
        </w:rPr>
        <w:t>On October 16, 2015, we entered into an amendment to the SSTL facility agreement pursuant to which, among other things, the Eurodollar margin was increased from 3.75% to 4.25%, effective October 20, 2015. See Note 21 – Subsequent Events for additional information.</w:t>
      </w:r>
    </w:p>
    <w:p>
      <w:pPr>
        <w:ind w:left="500" w:right="240" w:hanging="492"/>
        <w:spacing w:after="0" w:line="265" w:lineRule="auto"/>
        <w:tabs>
          <w:tab w:leader="none" w:pos="5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30, 2015, this repurchase agreement was renewed through September 29, 2016. Under this repurchase agreement, the lender provides financing on a committed basis for $50.0 million and, at the discretion of the lender, on an uncommitted basis for an additional $50.0 million.</w:t>
      </w:r>
    </w:p>
    <w:p>
      <w:pPr>
        <w:ind w:left="500" w:right="480" w:hanging="492"/>
        <w:spacing w:after="0" w:line="250"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25, 2015, this repurchase agreement was renewed through August 23, 2016. Borrowing capacity was reduced from $300.0 million, of which $150.0 million was provided on an uncommitted basis, to $200.0 million all of which is provided on a committed basis.</w:t>
      </w:r>
    </w:p>
    <w:p>
      <w:pPr>
        <w:jc w:val="both"/>
        <w:ind w:left="500" w:right="80" w:hanging="492"/>
        <w:spacing w:after="0" w:line="250"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participation agreement, the lender provides financing for $100.0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1" w:lineRule="exact"/>
        <w:rPr>
          <w:rFonts w:ascii="Times New Roman" w:cs="Times New Roman" w:eastAsia="Times New Roman" w:hAnsi="Times New Roman"/>
          <w:sz w:val="18"/>
          <w:szCs w:val="18"/>
          <w:color w:val="auto"/>
        </w:rPr>
      </w:pPr>
    </w:p>
    <w:p>
      <w:pPr>
        <w:jc w:val="both"/>
        <w:ind w:left="500" w:right="80" w:hanging="492"/>
        <w:spacing w:after="0" w:line="250"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participation agreement, the lender provides financing for $150.0 million at the discretion of the lender. The participation agreement allows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2015, this facility was voluntarily terminated.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was allowed to expire.</w:t>
      </w:r>
    </w:p>
    <w:p>
      <w:pPr>
        <w:spacing w:after="0" w:line="9" w:lineRule="exact"/>
        <w:rPr>
          <w:rFonts w:ascii="Times New Roman" w:cs="Times New Roman" w:eastAsia="Times New Roman" w:hAnsi="Times New Roman"/>
          <w:sz w:val="18"/>
          <w:szCs w:val="18"/>
          <w:color w:val="auto"/>
        </w:rPr>
      </w:pPr>
    </w:p>
    <w:p>
      <w:pPr>
        <w:ind w:left="500" w:right="120" w:hanging="492"/>
        <w:spacing w:after="0" w:line="261"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capacity of $100.0 million under this facility is available at the discretion of the lender. This facility was renewed on August 24, 2015, and the borrowing capacity was increased from $60.0 million to $100.0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Notes</w:t>
      </w:r>
    </w:p>
    <w:p>
      <w:pPr>
        <w:spacing w:after="0" w:line="121" w:lineRule="exact"/>
        <w:rPr>
          <w:sz w:val="20"/>
          <w:szCs w:val="20"/>
          <w:color w:val="auto"/>
        </w:rPr>
      </w:pPr>
    </w:p>
    <w:p>
      <w:pPr>
        <w:ind w:right="140" w:firstLine="324"/>
        <w:spacing w:after="0" w:line="272" w:lineRule="auto"/>
        <w:rPr>
          <w:sz w:val="20"/>
          <w:szCs w:val="20"/>
          <w:color w:val="auto"/>
        </w:rPr>
      </w:pPr>
      <w:r>
        <w:rPr>
          <w:rFonts w:ascii="Times New Roman" w:cs="Times New Roman" w:eastAsia="Times New Roman" w:hAnsi="Times New Roman"/>
          <w:sz w:val="18"/>
          <w:szCs w:val="18"/>
          <w:color w:val="auto"/>
        </w:rPr>
        <w:t>On May 12, 2014, Ocwen completed the issuance and sale of $350.0 million of its 6.625% Senior Notes due 2019 (the Senior Unsecured Notes) in a private offering. The Senior Unsecured Notes are general senior unsecured obligations of Ocwen and will mature on May 15, 2019. Interest is payable semi-annually on May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8"/>
          <w:szCs w:val="18"/>
          <w:color w:val="auto"/>
        </w:rPr>
        <w:t xml:space="preserve"> and November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8"/>
          <w:szCs w:val="18"/>
          <w:color w:val="auto"/>
        </w:rPr>
        <w:t>. The Senior Unsecured Notes are not guaranteed by any of Ocwen’s subsidiaries.</w:t>
      </w:r>
    </w:p>
    <w:p>
      <w:pPr>
        <w:spacing w:after="0" w:line="5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Ocwen entered into a Registration Rights Agreement under which it agreed for the benefit of the initial purchasers of the Senior Unsecured Notes to use commercially reasonable efforts to file an exchange offer registration statement, to have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38" w:right="239" w:bottom="1440" w:gutter="0" w:footer="0" w:header="0"/>
        </w:sectPr>
      </w:pPr>
    </w:p>
    <w:bookmarkStart w:id="35" w:name="page36"/>
    <w:bookmarkEnd w:id="35"/>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exchange offer registration statement become effective and to complete the exchange offer on or prior to 270 days after the closing of the offering. Because the exchange offer was not completed on or before 270 days after the closing of the offering, we began paying additional interest on the Senior Unsecured Notes and will continue to pay the additional interest until the exchange offer is completed. At September 30, 2015, we were paying additional interest at a rate of 0.75% per annum. The additional interest rate will increase to its maximum of 1.00% per annum in November 2015.</w:t>
      </w:r>
    </w:p>
    <w:p>
      <w:pPr>
        <w:spacing w:after="0" w:line="1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our issuance of the Senior Unsecured Notes, we incurred certain costs that we capitalized and are amortizing over the period from the date of issuance to May 15, 2019. The unamortized balance of these issuance costs was $4.8 million at September 30, 2015.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terms of our debt agreements, we are subject to various qualitative and quantitative covenants. Collectively, these covenants include:</w:t>
      </w:r>
    </w:p>
    <w:p>
      <w:pPr>
        <w:spacing w:after="0" w:line="11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to operate in material compliance with applicable laws;</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engage in various activities, including but not limited to incurring additional debt, paying dividends, repurchasing or redeeming capital stock, transferring assets or making loans, investments or acquisitions;</w:t>
      </w:r>
    </w:p>
    <w:p>
      <w:pPr>
        <w:ind w:left="660" w:right="2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reporting of various specified transactions or events, including specific reporting on defined events affecting collateral underlying certain debt agreements; and</w:t>
      </w:r>
    </w:p>
    <w:p>
      <w:pPr>
        <w:ind w:left="660" w:right="20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provide audited financial statements within specified timeframes, including a requirement under our SSTL that Ocwen’s financial statements and the related audit report be unqualified as to going concern.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covenants in our debt agreements require that we maintain, among other things:</w:t>
      </w:r>
    </w:p>
    <w:p>
      <w:pPr>
        <w:spacing w:after="0" w:line="117" w:lineRule="exact"/>
        <w:rPr>
          <w:sz w:val="20"/>
          <w:szCs w:val="20"/>
          <w:color w:val="auto"/>
        </w:rPr>
      </w:pPr>
    </w:p>
    <w:p>
      <w:pPr>
        <w:ind w:left="660" w:right="30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interest coverage ratio, which is defined under our SSTL as the ratio of four quarter adjusted EBITDA to four quarter interest expense (each as defined therein);</w:t>
      </w:r>
    </w:p>
    <w:p>
      <w:pPr>
        <w:ind w:left="660" w:right="460" w:hanging="328"/>
        <w:spacing w:after="0" w:line="25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corporate leverage ratio, which is defined under our SSTL as consolidated corporate debt to four quarter adjusted EBITDA (each as defined therein);</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consolidated total debt to consolidated tangible net worth ratio;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loan to collateral value ratio, as defined under our SSTL;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levels of tangible net worth and liquidity at the consolidated and OLS levels.</w:t>
      </w:r>
    </w:p>
    <w:p>
      <w:pPr>
        <w:spacing w:after="0" w:line="9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a result of an amendment of our SSTL agreement that we entered into on October 16, 2015, the interest coverage ratio and corporate leverage ratio financial covenants have been removed until the fiscal quarter ending June 30, 2017. See Note 21 – Subsequent Events for additional information.</w:t>
      </w:r>
    </w:p>
    <w:p>
      <w:pPr>
        <w:spacing w:after="0" w:line="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2015, the most restrictive consolidated tangible net worth requirement was for a minimum of $1.1 billion at OLS under our match funded debt agreements and the Servicing master repurchase agreement.</w:t>
      </w:r>
    </w:p>
    <w:p>
      <w:pPr>
        <w:spacing w:after="0" w:line="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change, insolvency, bankruptcy, certain material judgments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78"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in compliance with all of the qualitative and quantitative covenants in our debt agreements as of the date of these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68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Other Liabilities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 were comprised of the following at the dates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6"/>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Contingent loan repurchase liability (1)</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310,373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274,265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142,592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Liability for indemnification obligations</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86,873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132,918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for uncertain tax positions (2)</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28,436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Checks held for escheat</w:t>
            </w:r>
          </w:p>
        </w:tc>
        <w:tc>
          <w:tcPr>
            <w:tcW w:w="1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16,131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18,513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Payable to loan servicing and subservicing investors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67,722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Due to related parties (3)</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55,585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(4) (5)</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73,503</w:t>
            </w:r>
          </w:p>
        </w:tc>
      </w:tr>
      <w:tr>
        <w:trPr>
          <w:trHeight w:val="27"/>
        </w:trPr>
        <w:tc>
          <w:tcPr>
            <w:tcW w:w="834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1,036,165</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793,534</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720" w:hanging="492"/>
        <w:spacing w:after="0" w:line="261"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Ginnie Mae EBO Transactions, we have re-recognized certain loans on our consolidated balance sheets and establish a corresponding repurchase liability regardless of our intention to repurchase the loan.</w:t>
      </w:r>
    </w:p>
    <w:p>
      <w:pPr>
        <w:ind w:left="500" w:hanging="492"/>
        <w:spacing w:after="0" w:line="250"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various U.S. federal, state and local, and foreign tax returns. The tax years in our major jurisdictions that remain subject to examination are our U.S. federal tax returns for the years ended December 31, 2008 through to the current tax year, our USVI corporate tax returns for the years ended December 31, 2012 through to the current tax year, and our India corporate tax returns for the years ended March 31, 2005 through to the current tax year. Our U.S. federal tax returns for the years ended December 31, 2008, 2009, and 2010, our U.S. federal tax return for the year ended December 31, 2012, and the U.S. federal tax return for our USVI subsidiary, OMS, for the year ended December 31, 2012 are currently under examination by the Internal Revenue Service (IRS). Although we are confident in the merits of our tax positions under examination, considering the current status of the various IRS examinations and our assessment of tax reserves for all open tax years, we increased our liability for uncertain tax positions by approximately $19.2 million and $20.2 million for the three and nine months ended September 30, 2015, respectively. We believe our liability for uncertain tax positions as of September 30, 2015 is appropriate. It is reasonably possible that there could be a change in the amount of our uncertain tax positions within the next 12 months due to activities of various worldwide taxing authorities, including proposed assessments of additional tax, possible settlement of tax audit issues, or the expiration of applicable statutes of limitations. An estimate of the change in our uncertain tax positions within the next 12 months cannot be made at this time.</w:t>
      </w:r>
    </w:p>
    <w:p>
      <w:pPr>
        <w:spacing w:after="0" w:line="5" w:lineRule="exact"/>
        <w:rPr>
          <w:rFonts w:ascii="Times New Roman" w:cs="Times New Roman" w:eastAsia="Times New Roman" w:hAnsi="Times New Roman"/>
          <w:sz w:val="18"/>
          <w:szCs w:val="18"/>
          <w:color w:val="auto"/>
        </w:rPr>
      </w:pPr>
    </w:p>
    <w:p>
      <w:pPr>
        <w:ind w:left="500" w:right="180" w:hanging="492"/>
        <w:spacing w:after="0" w:line="250"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that we reported as related parties at December 31, 2014 are no longer considered to be related parties, and amounts payable to them are now reported within Other.</w:t>
      </w:r>
    </w:p>
    <w:p>
      <w:pPr>
        <w:ind w:left="500" w:hanging="492"/>
        <w:spacing w:after="0" w:line="250"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at September 30, 2015 includes $180.4 million due in connection with the repurchase of loans from Ginnie Mae securitizations. The repurchased loans are classified as held for sale and carried at the lower of cost or fair value at September 30, 2015. On October 1, 2015, we settled this liability and sold these loans.</w:t>
      </w:r>
    </w:p>
    <w:p>
      <w:pPr>
        <w:spacing w:after="0" w:line="1" w:lineRule="exact"/>
        <w:rPr>
          <w:rFonts w:ascii="Times New Roman" w:cs="Times New Roman" w:eastAsia="Times New Roman" w:hAnsi="Times New Roman"/>
          <w:sz w:val="18"/>
          <w:szCs w:val="18"/>
          <w:color w:val="auto"/>
        </w:rPr>
      </w:pPr>
    </w:p>
    <w:p>
      <w:pPr>
        <w:ind w:left="500" w:right="120" w:hanging="492"/>
        <w:spacing w:after="0" w:line="261"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at September 30, 2015 includes $80.0 million received prior to the closing of the related sale of MSRs and advances which is expected to occur by early November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Derivative Financial Instruments and Hedging Activities</w:t>
      </w:r>
    </w:p>
    <w:p>
      <w:pPr>
        <w:spacing w:after="0" w:line="121"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Because many of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92" w:right="2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the notional balances of our holdings of derivatives during the nine months ended September 30,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Forward MBS</w:t>
            </w:r>
          </w:p>
        </w:tc>
        <w:tc>
          <w:tcPr>
            <w:tcW w:w="12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0" w:type="dxa"/>
            <w:vAlign w:val="bottom"/>
          </w:tcPr>
          <w:p>
            <w:pPr>
              <w:spacing w:after="0"/>
              <w:rPr>
                <w:sz w:val="1"/>
                <w:szCs w:val="1"/>
                <w:color w:val="auto"/>
              </w:rPr>
            </w:pPr>
          </w:p>
        </w:tc>
      </w:tr>
      <w:tr>
        <w:trPr>
          <w:trHeight w:val="238"/>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IRLCs</w:t>
            </w: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Trades (1)</w:t>
            </w:r>
          </w:p>
        </w:tc>
        <w:tc>
          <w:tcPr>
            <w:tcW w:w="12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Caps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0" w:type="dxa"/>
            <w:vAlign w:val="bottom"/>
          </w:tcPr>
          <w:p>
            <w:pPr>
              <w:spacing w:after="0"/>
              <w:rPr>
                <w:sz w:val="1"/>
                <w:szCs w:val="1"/>
                <w:color w:val="auto"/>
              </w:rPr>
            </w:pPr>
          </w:p>
        </w:tc>
      </w:tr>
      <w:tr>
        <w:trPr>
          <w:trHeight w:val="27"/>
        </w:trPr>
        <w:tc>
          <w:tcPr>
            <w:tcW w:w="52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notional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239,406</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703,725</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1,729,000</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4,210,647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6,248,108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2,179,333</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(439,333)</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Maturities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(3,727,042)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(3,414,877)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Terminations</w:t>
            </w:r>
          </w:p>
        </w:tc>
        <w:tc>
          <w:tcPr>
            <w:tcW w:w="14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(337,938)</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(2,864,057)</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EAF9E8"/>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Ending notional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385,073</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672,899</w:t>
            </w:r>
          </w:p>
        </w:tc>
        <w:tc>
          <w:tcPr>
            <w:tcW w:w="12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3,469,000</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2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of derivative assets (liabilities) at:</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September 30, 2015</w:t>
            </w: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10,010</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1,501</w:t>
            </w: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6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color w:val="auto"/>
              </w:rPr>
              <w:t>December 31, 2014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6,065</w:t>
            </w:r>
          </w:p>
        </w:tc>
        <w:tc>
          <w:tcPr>
            <w:tcW w:w="12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tcBorders>
              <w:bottom w:val="single" w:sz="8" w:color="EAF9E8"/>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26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3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4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Oct. 2015 - Dec.</w:t>
            </w: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Nov. 2015 - Dec.</w:t>
            </w:r>
          </w:p>
        </w:tc>
        <w:tc>
          <w:tcPr>
            <w:tcW w:w="120" w:type="dxa"/>
            <w:vAlign w:val="bottom"/>
          </w:tcPr>
          <w:p>
            <w:pPr>
              <w:spacing w:after="0"/>
              <w:rPr>
                <w:sz w:val="19"/>
                <w:szCs w:val="19"/>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Nov. 2016 - Oct.</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2017</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00" w:right="380" w:hanging="411"/>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loans are originated and sold or as loan commitments expire, our forward MBS trade positions mature and are replaced by new positions based upon new loan commitments and originations and expected time to sell.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 Management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operations in India and the Philippines expose us to foreign currency exchange rate risk, but we currently do not consider this risk to be significant.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Management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Match Funded Liabilities</w:t>
      </w:r>
    </w:p>
    <w:p>
      <w:pPr>
        <w:spacing w:after="0" w:line="11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As required by certain of our advance financing arrangements, we have purchased interest rate caps to minimize future interest rate exposure from increases in one-month LIBOR interest rates.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 at Fair Value</w:t>
      </w:r>
    </w:p>
    <w:p>
      <w:pPr>
        <w:spacing w:after="0" w:line="119"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7"/>
          <w:szCs w:val="17"/>
          <w:color w:val="auto"/>
        </w:rPr>
        <w:t>The 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Lock Commitments</w:t>
      </w:r>
    </w:p>
    <w:p>
      <w:pPr>
        <w:spacing w:after="0" w:line="11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688" w:right="239" w:bottom="1440" w:gutter="0" w:footer="0" w:header="0"/>
        </w:sectPr>
      </w:pPr>
    </w:p>
    <w:bookmarkStart w:id="38" w:name="page39"/>
    <w:bookmarkEnd w:id="38"/>
    <w:p>
      <w:pPr>
        <w:ind w:right="180" w:firstLine="324"/>
        <w:spacing w:after="0" w:line="313" w:lineRule="auto"/>
        <w:rPr>
          <w:sz w:val="20"/>
          <w:szCs w:val="20"/>
          <w:color w:val="auto"/>
        </w:rPr>
      </w:pPr>
      <w:r>
        <w:rPr>
          <w:rFonts w:ascii="Times New Roman" w:cs="Times New Roman" w:eastAsia="Times New Roman" w:hAnsi="Times New Roman"/>
          <w:sz w:val="17"/>
          <w:szCs w:val="17"/>
          <w:color w:val="auto"/>
        </w:rPr>
        <w:t>The following summarizes our open derivative positions at September 30, 2015 and the gains (losses) on all derivatives used in each of the identified hedging programs for the year to date period then ended. None of the derivatives was designated as a hedge for accounting purposes at September 30, 2015: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Statements of</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r>
      <w:tr>
        <w:trPr>
          <w:trHeight w:val="238"/>
        </w:trPr>
        <w:tc>
          <w:tcPr>
            <w:tcW w:w="390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 (1)</w:t>
            </w:r>
          </w:p>
        </w:tc>
        <w:tc>
          <w:tcPr>
            <w:tcW w:w="1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Gains / (Losses)</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Caption</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risk of borrowings</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25"/>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 2016 -</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4"/>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caps (2)</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Oct. 2017</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3,469,000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net</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1"/>
        </w:trPr>
        <w:tc>
          <w:tcPr>
            <w:tcW w:w="3900" w:type="dxa"/>
            <w:vAlign w:val="bottom"/>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rate risk of mortgage loans held for sale</w:t>
            </w: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r>
      <w:tr>
        <w:trPr>
          <w:trHeight w:val="245"/>
        </w:trPr>
        <w:tc>
          <w:tcPr>
            <w:tcW w:w="3900" w:type="dxa"/>
            <w:vAlign w:val="bottom"/>
            <w:tcBorders>
              <w:bottom w:val="single" w:sz="8" w:color="EAF9E8"/>
            </w:tcBorders>
            <w:gridSpan w:val="2"/>
            <w:shd w:val="clear" w:color="auto" w:fill="EAF9E8"/>
          </w:tcPr>
          <w:p>
            <w:pPr>
              <w:ind w:left="200"/>
              <w:spacing w:after="0"/>
              <w:rPr>
                <w:sz w:val="20"/>
                <w:szCs w:val="20"/>
                <w:color w:val="auto"/>
              </w:rPr>
            </w:pPr>
            <w:r>
              <w:rPr>
                <w:rFonts w:ascii="Times New Roman" w:cs="Times New Roman" w:eastAsia="Times New Roman" w:hAnsi="Times New Roman"/>
                <w:sz w:val="18"/>
                <w:szCs w:val="18"/>
                <w:b w:val="1"/>
                <w:bCs w:val="1"/>
                <w:color w:val="auto"/>
              </w:rPr>
              <w:t>and of IRLCs</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r>
      <w:tr>
        <w:trPr>
          <w:trHeight w:val="225"/>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 2015 -</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Gain on loans held</w:t>
            </w:r>
          </w:p>
        </w:tc>
      </w:tr>
      <w:tr>
        <w:trPr>
          <w:trHeight w:val="234"/>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Forward MBS trades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 2015</w:t>
            </w:r>
          </w:p>
        </w:tc>
        <w:tc>
          <w:tcPr>
            <w:tcW w:w="4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672,899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sale, net</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37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rPr>
              <w:t>Oct. 2015 -</w:t>
            </w:r>
          </w:p>
        </w:tc>
        <w:tc>
          <w:tcPr>
            <w:tcW w:w="40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80" w:type="dxa"/>
            <w:vAlign w:val="bottom"/>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Gain on loans held</w:t>
            </w:r>
          </w:p>
        </w:tc>
      </w:tr>
      <w:tr>
        <w:trPr>
          <w:trHeight w:val="261"/>
        </w:trPr>
        <w:tc>
          <w:tcPr>
            <w:tcW w:w="3900" w:type="dxa"/>
            <w:vAlign w:val="bottom"/>
            <w:tcBorders>
              <w:bottom w:val="single" w:sz="8" w:color="EAF9E8"/>
            </w:tcBorders>
            <w:gridSpan w:val="2"/>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IRLCs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7"/>
              </w:rPr>
              <w:t>Nov. 2015</w:t>
            </w:r>
          </w:p>
        </w:tc>
        <w:tc>
          <w:tcPr>
            <w:tcW w:w="40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385,073</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Borders>
              <w:bottom w:val="single" w:sz="8" w:color="EAF9E8"/>
            </w:tcBorders>
            <w:shd w:val="clear" w:color="auto" w:fill="EAF9E8"/>
          </w:tcPr>
          <w:p>
            <w:pPr>
              <w:spacing w:after="0"/>
              <w:rPr>
                <w:sz w:val="22"/>
                <w:szCs w:val="22"/>
                <w:color w:val="auto"/>
              </w:rPr>
            </w:pPr>
          </w:p>
        </w:tc>
        <w:tc>
          <w:tcPr>
            <w:tcW w:w="148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9"/>
              </w:rPr>
              <w:t>for sale, net</w:t>
            </w:r>
          </w:p>
        </w:tc>
      </w:tr>
      <w:tr>
        <w:trPr>
          <w:trHeight w:val="257"/>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derivatives</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0"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are reported at fair value in Receivables, Other assets or in Other liabilities on our Unaudited Consolidated Balance Sheets.</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hedge the effect of changes in 1ML on advance funding facilities.</w:t>
      </w:r>
    </w:p>
    <w:p>
      <w:pPr>
        <w:spacing w:after="0" w:line="99" w:lineRule="exact"/>
        <w:rPr>
          <w:sz w:val="20"/>
          <w:szCs w:val="20"/>
          <w:color w:val="auto"/>
        </w:rPr>
      </w:pPr>
    </w:p>
    <w:p>
      <w:pPr>
        <w:ind w:left="60" w:right="140" w:firstLine="324"/>
        <w:spacing w:after="0" w:line="266" w:lineRule="auto"/>
        <w:rPr>
          <w:sz w:val="20"/>
          <w:szCs w:val="20"/>
          <w:color w:val="auto"/>
        </w:rPr>
      </w:pPr>
      <w:r>
        <w:rPr>
          <w:rFonts w:ascii="Times New Roman" w:cs="Times New Roman" w:eastAsia="Times New Roman" w:hAnsi="Times New Roman"/>
          <w:sz w:val="18"/>
          <w:szCs w:val="18"/>
          <w:color w:val="auto"/>
        </w:rPr>
        <w:t>Included in AOCL at September 30, 2015 and 2014, respectively, were $1.9 million and $9.2 million of deferred unrealized losses, before taxes of $0.1 million and $0.5 million, respectively, on interest rate swaps that we designated as cash flow hedges. Changes in AOCL during the nine months ended September 30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10,151</w:t>
            </w:r>
          </w:p>
        </w:tc>
      </w:tr>
      <w:tr>
        <w:trPr>
          <w:trHeight w:val="318"/>
        </w:trPr>
        <w:tc>
          <w:tcPr>
            <w:tcW w:w="8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Losses on terminated hedging relationships amortized to earnings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deferred taxes on accumulated losses on cash flow hedges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Decrease in accumulated losses on cash flow hedges, net of taxes</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318"/>
        </w:trPr>
        <w:tc>
          <w:tcPr>
            <w:tcW w:w="83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0"/>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net of taxes</w:t>
            </w: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8,784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2015, amortization of accumulated losses on cash flow hedges from AOCL to Other income (expense), net is projected to be $0.3 million during the next twelve months. To the extent we sell the MSRs to which the accumulated losses on cash flow hedges applied, a proportionate amount of the remaining unamortized accumulated losses associated with the MSRs sold is recognized in earnings at that time.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net, includes the following related to derivative financial instruments for the three and nine months ended September 30:</w:t>
      </w:r>
    </w:p>
    <w:p>
      <w:pPr>
        <w:sectPr>
          <w:pgSz w:w="11900" w:h="16838" w:orient="portrait"/>
          <w:cols w:equalWidth="0" w:num="1">
            <w:col w:w="11420"/>
          </w:cols>
          <w:pgMar w:left="240" w:top="688" w:right="239" w:bottom="1440" w:gutter="0" w:footer="0" w:header="0"/>
        </w:sectPr>
      </w:pPr>
    </w:p>
    <w:p>
      <w:pPr>
        <w:spacing w:after="0" w:line="167"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36830</wp:posOffset>
            </wp:positionV>
            <wp:extent cx="1972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5720"/>
        <w:spacing w:after="0"/>
        <w:tabs>
          <w:tab w:leader="none" w:pos="7320" w:val="left"/>
        </w:tabs>
        <w:rPr>
          <w:sz w:val="20"/>
          <w:szCs w:val="20"/>
          <w:color w:val="auto"/>
        </w:rPr>
      </w:pPr>
      <w:r>
        <w:rPr>
          <w:rFonts w:ascii="Times New Roman" w:cs="Times New Roman" w:eastAsia="Times New Roman" w:hAnsi="Times New Roman"/>
          <w:sz w:val="18"/>
          <w:szCs w:val="18"/>
          <w:b w:val="1"/>
          <w:bCs w:val="1"/>
          <w:color w:val="auto"/>
        </w:rPr>
        <w:t>2015</w:t>
      </w:r>
      <w:r>
        <w:rPr>
          <w:sz w:val="20"/>
          <w:szCs w:val="20"/>
          <w:color w:val="auto"/>
        </w:rPr>
        <w:tab/>
      </w:r>
      <w:r>
        <w:rPr>
          <w:rFonts w:ascii="Times New Roman" w:cs="Times New Roman" w:eastAsia="Times New Roman" w:hAnsi="Times New Roman"/>
          <w:sz w:val="18"/>
          <w:szCs w:val="18"/>
          <w:b w:val="1"/>
          <w:bCs w:val="1"/>
          <w:color w:val="auto"/>
        </w:rPr>
        <w:t>2014</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36830</wp:posOffset>
            </wp:positionV>
            <wp:extent cx="1938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2015</w:t>
      </w:r>
      <w:r>
        <w:rPr>
          <w:sz w:val="20"/>
          <w:szCs w:val="20"/>
          <w:color w:val="auto"/>
        </w:rPr>
        <w:tab/>
      </w:r>
      <w:r>
        <w:rPr>
          <w:rFonts w:ascii="Times New Roman" w:cs="Times New Roman" w:eastAsia="Times New Roman" w:hAnsi="Times New Roman"/>
          <w:sz w:val="18"/>
          <w:szCs w:val="18"/>
          <w:b w:val="1"/>
          <w:bCs w:val="1"/>
          <w:color w:val="auto"/>
        </w:rPr>
        <w:t>2014</w:t>
      </w:r>
    </w:p>
    <w:p>
      <w:pPr>
        <w:spacing w:after="0" w:line="38" w:lineRule="exact"/>
        <w:rPr>
          <w:sz w:val="20"/>
          <w:szCs w:val="20"/>
          <w:color w:val="auto"/>
        </w:rPr>
      </w:pPr>
    </w:p>
    <w:p>
      <w:pPr>
        <w:sectPr>
          <w:pgSz w:w="11900" w:h="16838" w:orient="portrait"/>
          <w:cols w:equalWidth="0" w:num="2">
            <w:col w:w="8200" w:space="720"/>
            <w:col w:w="250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160" w:type="dxa"/>
            <w:vAlign w:val="bottom"/>
            <w:tcBorders>
              <w:top w:val="single" w:sz="8" w:color="EAF9E8"/>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Losses on economic hedges</w:t>
            </w:r>
          </w:p>
        </w:tc>
        <w:tc>
          <w:tcPr>
            <w:tcW w:w="280" w:type="dxa"/>
            <w:vAlign w:val="bottom"/>
            <w:tcBorders>
              <w:top w:val="single" w:sz="8" w:color="auto"/>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top w:val="single" w:sz="8" w:color="EAF9E8"/>
              <w:bottom w:val="single" w:sz="8" w:color="EAF9E8"/>
            </w:tcBorders>
            <w:shd w:val="clear" w:color="auto" w:fill="EAF9E8"/>
          </w:tcPr>
          <w:p>
            <w:pPr>
              <w:spacing w:after="0"/>
              <w:rPr>
                <w:sz w:val="22"/>
                <w:szCs w:val="22"/>
                <w:color w:val="auto"/>
              </w:rPr>
            </w:pPr>
          </w:p>
        </w:tc>
        <w:tc>
          <w:tcPr>
            <w:tcW w:w="580" w:type="dxa"/>
            <w:vAlign w:val="bottom"/>
            <w:tcBorders>
              <w:top w:val="single" w:sz="8" w:color="auto"/>
              <w:bottom w:val="single" w:sz="8" w:color="EAF9E8"/>
            </w:tcBorders>
            <w:shd w:val="clear" w:color="auto" w:fill="EAF9E8"/>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EAF9E8"/>
              <w:bottom w:val="single" w:sz="8" w:color="EAF9E8"/>
            </w:tcBorders>
            <w:shd w:val="clear" w:color="auto" w:fill="EAF9E8"/>
          </w:tcPr>
          <w:p>
            <w:pPr>
              <w:spacing w:after="0"/>
              <w:rPr>
                <w:sz w:val="22"/>
                <w:szCs w:val="22"/>
                <w:color w:val="auto"/>
              </w:rPr>
            </w:pPr>
          </w:p>
        </w:tc>
        <w:tc>
          <w:tcPr>
            <w:tcW w:w="520" w:type="dxa"/>
            <w:vAlign w:val="bottom"/>
            <w:tcBorders>
              <w:top w:val="single" w:sz="8" w:color="auto"/>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580" w:type="dxa"/>
            <w:vAlign w:val="bottom"/>
            <w:tcBorders>
              <w:top w:val="single" w:sz="8" w:color="auto"/>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Write-off of losses in AOCL for a discontinued hedge relationship</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7"/>
        </w:trPr>
        <w:tc>
          <w:tcPr>
            <w:tcW w:w="51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EAF9E8"/>
            </w:tcBorders>
            <w:shd w:val="clear" w:color="auto" w:fill="EAF9E8"/>
          </w:tcPr>
          <w:p>
            <w:pPr>
              <w:spacing w:after="0"/>
              <w:rPr>
                <w:sz w:val="22"/>
                <w:szCs w:val="22"/>
                <w:color w:val="auto"/>
              </w:rPr>
            </w:pPr>
          </w:p>
        </w:tc>
        <w:tc>
          <w:tcPr>
            <w:tcW w:w="580" w:type="dxa"/>
            <w:vAlign w:val="bottom"/>
            <w:tcBorders>
              <w:bottom w:val="single" w:sz="8" w:color="EAF9E8"/>
            </w:tcBorders>
            <w:shd w:val="clear" w:color="auto" w:fill="EAF9E8"/>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58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0"/>
        </w:trPr>
        <w:tc>
          <w:tcPr>
            <w:tcW w:w="516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type w:val="continuous"/>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Interest Expense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880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 for the three and nine months ended September 30: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960" w:type="dxa"/>
            <w:vAlign w:val="bottom"/>
          </w:tcPr>
          <w:p>
            <w:pPr>
              <w:spacing w:after="0"/>
              <w:rPr>
                <w:sz w:val="24"/>
                <w:szCs w:val="24"/>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16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Financing liabilities (1)(2)(3)</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73,866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88,246</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222,067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281,930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62,359</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15,425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15,097</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45,379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46,762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6.625% Senior unsecured notes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7,192</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8,612</w:t>
            </w:r>
          </w:p>
        </w:tc>
      </w:tr>
      <w:tr>
        <w:trPr>
          <w:trHeight w:val="237"/>
        </w:trPr>
        <w:tc>
          <w:tcPr>
            <w:tcW w:w="5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118,313</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133,049</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362,606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409,129</w:t>
            </w: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related to financing liabilities recorded in connection with the NRZ/HLSS Transactions as indicated in the table below.</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94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2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Servicing fees collected on behalf of NRZ</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175,994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177,113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531,399</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553,423</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Subservicing fee retained by Ocwen</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266,514</w:t>
            </w:r>
          </w:p>
        </w:tc>
      </w:tr>
      <w:tr>
        <w:trPr>
          <w:trHeight w:val="27"/>
        </w:trPr>
        <w:tc>
          <w:tcPr>
            <w:tcW w:w="42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Net servicing fees remitted to NRZ</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84,397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93,563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258,597</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286,909</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Reduction in financing liability</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12,960</w:t>
            </w:r>
          </w:p>
        </w:tc>
      </w:tr>
      <w:tr>
        <w:trPr>
          <w:trHeight w:val="27"/>
        </w:trPr>
        <w:tc>
          <w:tcPr>
            <w:tcW w:w="424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EAF9E8"/>
            </w:tcBorders>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Interest expense on NRZ financing liability</w:t>
            </w: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63,237</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84,827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206,438</w:t>
            </w:r>
          </w:p>
        </w:tc>
        <w:tc>
          <w:tcPr>
            <w:tcW w:w="12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273,949</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200" w:hanging="492"/>
        <w:spacing w:after="0" w:line="257"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$8.2 million and $8.5 million for the three and nine months ended September 30, 2015, respectively, of fees incurred in connection with our agreement to compensate NRZ for certain increased costs associated with its servicing advance financing facilities that are the direct result of a downgrade of our S&amp;P servicer rating.</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that we expect to be paid on the HMBS-related borrowings is included with net fair value gains in Other revenues.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792"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Note 15 – Basic and Diluted Earnings per Share</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Basic earnings per share excludes common stock equivalents and is calculated by dividing net income attributable to Ocwen common stockholders by the weighted average number of common shares outstanding during the year. We calculate diluted earnings per share by dividing net income attributable to Ocwen, as adjusted to add back any preferred stock dividends, by the weighted average number of common shares outstanding including the potential dilutive common shares related to outstanding stock options, restricted stock awards and preferred stock. The following is a reconciliation of the calculation of basic earnings per share to diluted earnings per share for the three and nine months ended September 30: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0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0" w:type="dxa"/>
            <w:vAlign w:val="bottom"/>
            <w:tcBorders>
              <w:bottom w:val="single" w:sz="8" w:color="EAF9E8"/>
            </w:tcBorders>
          </w:tcPr>
          <w:p>
            <w:pPr>
              <w:spacing w:after="0"/>
              <w:rPr>
                <w:sz w:val="2"/>
                <w:szCs w:val="2"/>
                <w:color w:val="auto"/>
              </w:rPr>
            </w:pPr>
          </w:p>
        </w:tc>
        <w:tc>
          <w:tcPr>
            <w:tcW w:w="180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29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5160" w:type="dxa"/>
            <w:vAlign w:val="bottom"/>
            <w:gridSpan w:val="4"/>
            <w:shd w:val="clear" w:color="auto" w:fill="EAF9E8"/>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3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4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r>
      <w:tr>
        <w:trPr>
          <w:trHeight w:val="48"/>
        </w:trPr>
        <w:tc>
          <w:tcPr>
            <w:tcW w:w="40" w:type="dxa"/>
            <w:vAlign w:val="bottom"/>
            <w:tcBorders>
              <w:top w:val="single" w:sz="8" w:color="EAF9E8"/>
            </w:tcBorders>
            <w:shd w:val="clear" w:color="auto" w:fill="EAF9E8"/>
          </w:tcPr>
          <w:p>
            <w:pPr>
              <w:spacing w:after="0"/>
              <w:rPr>
                <w:sz w:val="4"/>
                <w:szCs w:val="4"/>
                <w:color w:val="auto"/>
              </w:rPr>
            </w:pPr>
          </w:p>
        </w:tc>
        <w:tc>
          <w:tcPr>
            <w:tcW w:w="1800" w:type="dxa"/>
            <w:vAlign w:val="bottom"/>
            <w:tcBorders>
              <w:top w:val="single" w:sz="8" w:color="auto"/>
            </w:tcBorders>
            <w:shd w:val="clear" w:color="auto" w:fill="EAF9E8"/>
          </w:tcPr>
          <w:p>
            <w:pPr>
              <w:spacing w:after="0"/>
              <w:rPr>
                <w:sz w:val="4"/>
                <w:szCs w:val="4"/>
                <w:color w:val="auto"/>
              </w:rPr>
            </w:pPr>
          </w:p>
        </w:tc>
        <w:tc>
          <w:tcPr>
            <w:tcW w:w="400" w:type="dxa"/>
            <w:vAlign w:val="bottom"/>
            <w:tcBorders>
              <w:top w:val="single" w:sz="8" w:color="EAF9E8"/>
            </w:tcBorders>
            <w:shd w:val="clear" w:color="auto" w:fill="EAF9E8"/>
          </w:tcPr>
          <w:p>
            <w:pPr>
              <w:spacing w:after="0"/>
              <w:rPr>
                <w:sz w:val="4"/>
                <w:szCs w:val="4"/>
                <w:color w:val="auto"/>
              </w:rPr>
            </w:pPr>
          </w:p>
        </w:tc>
        <w:tc>
          <w:tcPr>
            <w:tcW w:w="292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200" w:type="dxa"/>
            <w:vAlign w:val="bottom"/>
            <w:tcBorders>
              <w:top w:val="single" w:sz="8" w:color="EAF9E8"/>
            </w:tcBorders>
            <w:shd w:val="clear" w:color="auto" w:fill="EAF9E8"/>
          </w:tcPr>
          <w:p>
            <w:pPr>
              <w:spacing w:after="0"/>
              <w:rPr>
                <w:sz w:val="4"/>
                <w:szCs w:val="4"/>
                <w:color w:val="auto"/>
              </w:rPr>
            </w:pPr>
          </w:p>
        </w:tc>
        <w:tc>
          <w:tcPr>
            <w:tcW w:w="12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300" w:type="dxa"/>
            <w:vAlign w:val="bottom"/>
            <w:tcBorders>
              <w:top w:val="single" w:sz="8" w:color="EAF9E8"/>
            </w:tcBorders>
            <w:shd w:val="clear" w:color="auto" w:fill="EAF9E8"/>
          </w:tcPr>
          <w:p>
            <w:pPr>
              <w:spacing w:after="0"/>
              <w:rPr>
                <w:sz w:val="4"/>
                <w:szCs w:val="4"/>
                <w:color w:val="auto"/>
              </w:rPr>
            </w:pPr>
          </w:p>
        </w:tc>
        <w:tc>
          <w:tcPr>
            <w:tcW w:w="1180" w:type="dxa"/>
            <w:vAlign w:val="bottom"/>
            <w:tcBorders>
              <w:top w:val="single" w:sz="8" w:color="EAF9E8"/>
            </w:tcBorders>
            <w:shd w:val="clear" w:color="auto" w:fill="EAF9E8"/>
          </w:tcPr>
          <w:p>
            <w:pPr>
              <w:spacing w:after="0"/>
              <w:rPr>
                <w:sz w:val="4"/>
                <w:szCs w:val="4"/>
                <w:color w:val="auto"/>
              </w:rPr>
            </w:pPr>
          </w:p>
        </w:tc>
        <w:tc>
          <w:tcPr>
            <w:tcW w:w="100" w:type="dxa"/>
            <w:vAlign w:val="bottom"/>
            <w:tcBorders>
              <w:top w:val="single" w:sz="8" w:color="EAF9E8"/>
            </w:tcBorders>
            <w:shd w:val="clear" w:color="auto" w:fill="EAF9E8"/>
          </w:tcPr>
          <w:p>
            <w:pPr>
              <w:spacing w:after="0"/>
              <w:rPr>
                <w:sz w:val="4"/>
                <w:szCs w:val="4"/>
                <w:color w:val="auto"/>
              </w:rPr>
            </w:pPr>
          </w:p>
        </w:tc>
        <w:tc>
          <w:tcPr>
            <w:tcW w:w="460" w:type="dxa"/>
            <w:vAlign w:val="bottom"/>
            <w:tcBorders>
              <w:top w:val="single" w:sz="8" w:color="EAF9E8"/>
            </w:tcBorders>
            <w:shd w:val="clear" w:color="auto" w:fill="EAF9E8"/>
          </w:tcPr>
          <w:p>
            <w:pPr>
              <w:spacing w:after="0"/>
              <w:rPr>
                <w:sz w:val="4"/>
                <w:szCs w:val="4"/>
                <w:color w:val="auto"/>
              </w:rPr>
            </w:pPr>
          </w:p>
        </w:tc>
        <w:tc>
          <w:tcPr>
            <w:tcW w:w="1020" w:type="dxa"/>
            <w:vAlign w:val="bottom"/>
            <w:tcBorders>
              <w:top w:val="single" w:sz="8" w:color="EAF9E8"/>
            </w:tcBorders>
            <w:shd w:val="clear" w:color="auto" w:fill="EAF9E8"/>
          </w:tcPr>
          <w:p>
            <w:pPr>
              <w:spacing w:after="0"/>
              <w:rPr>
                <w:sz w:val="4"/>
                <w:szCs w:val="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120" w:type="dxa"/>
            <w:vAlign w:val="bottom"/>
            <w:tcBorders>
              <w:bottom w:val="single" w:sz="8" w:color="EAF9E8"/>
            </w:tcBorders>
            <w:gridSpan w:val="3"/>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Ocwen common stockholders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(66,869)</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(76,189)</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tcBorders>
              <w:bottom w:val="single" w:sz="8" w:color="EAF9E8"/>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49,273</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29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120" w:type="dxa"/>
            <w:vAlign w:val="bottom"/>
            <w:tcBorders>
              <w:bottom w:val="single" w:sz="8" w:color="EAF9E8"/>
            </w:tcBorders>
            <w:gridSpan w:val="3"/>
          </w:tcPr>
          <w:p>
            <w:pPr>
              <w:ind w:left="14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125,383,639</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130,551,197</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125,322,742</w:t>
            </w:r>
          </w:p>
        </w:tc>
        <w:tc>
          <w:tcPr>
            <w:tcW w:w="100" w:type="dxa"/>
            <w:vAlign w:val="bottom"/>
            <w:tcBorders>
              <w:bottom w:val="single" w:sz="8" w:color="EAF9E8"/>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133,318,381</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29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120" w:type="dxa"/>
            <w:vAlign w:val="bottom"/>
            <w:tcBorders>
              <w:bottom w:val="single" w:sz="8" w:color="EAF9E8"/>
            </w:tcBorders>
            <w:gridSpan w:val="3"/>
          </w:tcPr>
          <w:p>
            <w:pPr>
              <w:ind w:left="1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EAF9E8"/>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29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03"/>
        </w:trPr>
        <w:tc>
          <w:tcPr>
            <w:tcW w:w="516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Diluted earnings per share (1):</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Ocwen common stockholders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(66,869)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(76,189)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49,273</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Preferred stock dividends (2)</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EAF9E8"/>
            </w:tcBorders>
          </w:tcPr>
          <w:p>
            <w:pPr>
              <w:spacing w:after="0"/>
              <w:rPr>
                <w:sz w:val="2"/>
                <w:szCs w:val="2"/>
                <w:color w:val="auto"/>
              </w:rPr>
            </w:pPr>
          </w:p>
        </w:tc>
        <w:tc>
          <w:tcPr>
            <w:tcW w:w="1800" w:type="dxa"/>
            <w:vAlign w:val="bottom"/>
            <w:tcBorders>
              <w:bottom w:val="single" w:sz="8" w:color="EAF9E8"/>
            </w:tcBorders>
          </w:tcPr>
          <w:p>
            <w:pPr>
              <w:spacing w:after="0"/>
              <w:rPr>
                <w:sz w:val="2"/>
                <w:szCs w:val="2"/>
                <w:color w:val="auto"/>
              </w:rPr>
            </w:pPr>
          </w:p>
        </w:tc>
        <w:tc>
          <w:tcPr>
            <w:tcW w:w="400" w:type="dxa"/>
            <w:vAlign w:val="bottom"/>
            <w:tcBorders>
              <w:bottom w:val="single" w:sz="8" w:color="EAF9E8"/>
            </w:tcBorders>
          </w:tcPr>
          <w:p>
            <w:pPr>
              <w:spacing w:after="0"/>
              <w:rPr>
                <w:sz w:val="2"/>
                <w:szCs w:val="2"/>
                <w:color w:val="auto"/>
              </w:rPr>
            </w:pPr>
          </w:p>
        </w:tc>
        <w:tc>
          <w:tcPr>
            <w:tcW w:w="29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EAF9E8"/>
            </w:tcBorders>
            <w:shd w:val="clear" w:color="auto" w:fill="EAF9E8"/>
          </w:tcPr>
          <w:p>
            <w:pPr>
              <w:spacing w:after="0"/>
              <w:rPr>
                <w:sz w:val="22"/>
                <w:szCs w:val="22"/>
                <w:color w:val="auto"/>
              </w:rPr>
            </w:pPr>
          </w:p>
        </w:tc>
        <w:tc>
          <w:tcPr>
            <w:tcW w:w="5120" w:type="dxa"/>
            <w:vAlign w:val="bottom"/>
            <w:tcBorders>
              <w:bottom w:val="single" w:sz="8" w:color="EAF9E8"/>
            </w:tcBorders>
            <w:gridSpan w:val="3"/>
            <w:shd w:val="clear" w:color="auto" w:fill="EAF9E8"/>
          </w:tcPr>
          <w:p>
            <w:pPr>
              <w:ind w:left="140"/>
              <w:spacing w:after="0"/>
              <w:rPr>
                <w:sz w:val="20"/>
                <w:szCs w:val="20"/>
                <w:color w:val="auto"/>
              </w:rPr>
            </w:pPr>
            <w:r>
              <w:rPr>
                <w:rFonts w:ascii="Times New Roman" w:cs="Times New Roman" w:eastAsia="Times New Roman" w:hAnsi="Times New Roman"/>
                <w:sz w:val="18"/>
                <w:szCs w:val="18"/>
                <w:color w:val="auto"/>
              </w:rPr>
              <w:t>Adjusted net income (loss) attributable to Ocwen</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(66,869)</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(76,189)</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49,273</w:t>
            </w: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14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125,383,639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130,551,197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125,322,742</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w w:val="99"/>
              </w:rPr>
              <w:t>133,318,381</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Effect of dilutive elements (1):</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Preferred stock (2)</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3,558,689</w:t>
            </w: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5120" w:type="dxa"/>
            <w:vAlign w:val="bottom"/>
            <w:tcBorders>
              <w:bottom w:val="single" w:sz="8" w:color="EAF9E8"/>
            </w:tcBorders>
            <w:gridSpan w:val="3"/>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Common stock awards</w:t>
            </w:r>
          </w:p>
        </w:tc>
        <w:tc>
          <w:tcPr>
            <w:tcW w:w="30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4,256</w:t>
            </w:r>
          </w:p>
        </w:tc>
      </w:tr>
      <w:tr>
        <w:trPr>
          <w:trHeight w:val="297"/>
        </w:trPr>
        <w:tc>
          <w:tcPr>
            <w:tcW w:w="40" w:type="dxa"/>
            <w:vAlign w:val="bottom"/>
            <w:tcBorders>
              <w:bottom w:val="single" w:sz="8" w:color="EAF9E8"/>
            </w:tcBorders>
          </w:tcPr>
          <w:p>
            <w:pPr>
              <w:spacing w:after="0"/>
              <w:rPr>
                <w:sz w:val="24"/>
                <w:szCs w:val="24"/>
                <w:color w:val="auto"/>
              </w:rPr>
            </w:pPr>
          </w:p>
        </w:tc>
        <w:tc>
          <w:tcPr>
            <w:tcW w:w="5120" w:type="dxa"/>
            <w:vAlign w:val="bottom"/>
            <w:tcBorders>
              <w:bottom w:val="single" w:sz="8" w:color="EAF9E8"/>
            </w:tcBorders>
            <w:gridSpan w:val="3"/>
          </w:tcPr>
          <w:p>
            <w:pPr>
              <w:ind w:left="140"/>
              <w:spacing w:after="0"/>
              <w:rPr>
                <w:sz w:val="20"/>
                <w:szCs w:val="20"/>
                <w:color w:val="auto"/>
              </w:rPr>
            </w:pPr>
            <w:r>
              <w:rPr>
                <w:rFonts w:ascii="Times New Roman" w:cs="Times New Roman" w:eastAsia="Times New Roman" w:hAnsi="Times New Roman"/>
                <w:sz w:val="18"/>
                <w:szCs w:val="18"/>
                <w:color w:val="auto"/>
              </w:rPr>
              <w:t>Dilutive weighted average shares of common stock</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125,383,639</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130,551,197</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125,322,742</w:t>
            </w:r>
          </w:p>
        </w:tc>
        <w:tc>
          <w:tcPr>
            <w:tcW w:w="100" w:type="dxa"/>
            <w:vAlign w:val="bottom"/>
            <w:tcBorders>
              <w:bottom w:val="single" w:sz="8" w:color="EAF9E8"/>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136,881,326</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29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304"/>
        </w:trPr>
        <w:tc>
          <w:tcPr>
            <w:tcW w:w="40" w:type="dxa"/>
            <w:vAlign w:val="bottom"/>
            <w:tcBorders>
              <w:bottom w:val="single" w:sz="8" w:color="EAF9E8"/>
            </w:tcBorders>
          </w:tcPr>
          <w:p>
            <w:pPr>
              <w:spacing w:after="0"/>
              <w:rPr>
                <w:sz w:val="24"/>
                <w:szCs w:val="24"/>
                <w:color w:val="auto"/>
              </w:rPr>
            </w:pPr>
          </w:p>
        </w:tc>
        <w:tc>
          <w:tcPr>
            <w:tcW w:w="5120" w:type="dxa"/>
            <w:vAlign w:val="bottom"/>
            <w:tcBorders>
              <w:bottom w:val="single" w:sz="8" w:color="EAF9E8"/>
            </w:tcBorders>
            <w:gridSpan w:val="3"/>
          </w:tcPr>
          <w:p>
            <w:pPr>
              <w:ind w:left="1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EAF9E8"/>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0.36</w:t>
            </w:r>
          </w:p>
        </w:tc>
      </w:tr>
      <w:tr>
        <w:trPr>
          <w:trHeight w:val="284"/>
        </w:trPr>
        <w:tc>
          <w:tcPr>
            <w:tcW w:w="40" w:type="dxa"/>
            <w:vAlign w:val="bottom"/>
            <w:shd w:val="clear" w:color="auto" w:fill="EAF9E8"/>
          </w:tcPr>
          <w:p>
            <w:pPr>
              <w:spacing w:after="0"/>
              <w:rPr>
                <w:sz w:val="24"/>
                <w:szCs w:val="24"/>
                <w:color w:val="auto"/>
              </w:rPr>
            </w:pPr>
          </w:p>
        </w:tc>
        <w:tc>
          <w:tcPr>
            <w:tcW w:w="1800" w:type="dxa"/>
            <w:vAlign w:val="bottom"/>
            <w:shd w:val="clear" w:color="auto" w:fill="EAF9E8"/>
          </w:tcPr>
          <w:p>
            <w:pPr>
              <w:spacing w:after="0"/>
              <w:rPr>
                <w:sz w:val="24"/>
                <w:szCs w:val="24"/>
                <w:color w:val="auto"/>
              </w:rPr>
            </w:pPr>
          </w:p>
        </w:tc>
        <w:tc>
          <w:tcPr>
            <w:tcW w:w="400" w:type="dxa"/>
            <w:vAlign w:val="bottom"/>
            <w:shd w:val="clear" w:color="auto" w:fill="EAF9E8"/>
          </w:tcPr>
          <w:p>
            <w:pPr>
              <w:spacing w:after="0"/>
              <w:rPr>
                <w:sz w:val="24"/>
                <w:szCs w:val="24"/>
                <w:color w:val="auto"/>
              </w:rPr>
            </w:pPr>
          </w:p>
        </w:tc>
        <w:tc>
          <w:tcPr>
            <w:tcW w:w="29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6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25"/>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Stock options and common stock awards excluded from the</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5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computation of diluted earnings per share: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5120" w:type="dxa"/>
            <w:vAlign w:val="bottom"/>
            <w:tcBorders>
              <w:bottom w:val="single" w:sz="8" w:color="EAF9E8"/>
            </w:tcBorders>
            <w:gridSpan w:val="3"/>
            <w:shd w:val="clear" w:color="auto" w:fill="EAF9E8"/>
          </w:tcPr>
          <w:p>
            <w:pPr>
              <w:ind w:left="140"/>
              <w:spacing w:after="0"/>
              <w:rPr>
                <w:sz w:val="20"/>
                <w:szCs w:val="20"/>
                <w:color w:val="auto"/>
              </w:rPr>
            </w:pPr>
            <w:r>
              <w:rPr>
                <w:rFonts w:ascii="Times New Roman" w:cs="Times New Roman" w:eastAsia="Times New Roman" w:hAnsi="Times New Roman"/>
                <w:sz w:val="18"/>
                <w:szCs w:val="18"/>
                <w:color w:val="auto"/>
              </w:rPr>
              <w:t>Anti-dilutive (3)</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2,037,872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91,250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1,965,049</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47,083</w:t>
            </w: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Market-based (4)</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924,438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924,438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295,000</w:t>
            </w:r>
          </w:p>
        </w:tc>
      </w:tr>
    </w:tbl>
    <w:p>
      <w:pPr>
        <w:spacing w:after="0" w:line="333" w:lineRule="exact"/>
        <w:rPr>
          <w:sz w:val="20"/>
          <w:szCs w:val="20"/>
          <w:color w:val="auto"/>
        </w:rPr>
      </w:pPr>
    </w:p>
    <w:p>
      <w:pPr>
        <w:ind w:left="500" w:hanging="492"/>
        <w:spacing w:after="0" w:line="257"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2015 and for three months ended September 30, 2014, we have excluded the effect of preferred stock, stock options and common stock awards from the computation of diluted earnings per share because of the anti-dilutive effect of our reported net loss.</w:t>
      </w:r>
    </w:p>
    <w:p>
      <w:pPr>
        <w:spacing w:after="0" w:line="1" w:lineRule="exact"/>
        <w:rPr>
          <w:rFonts w:ascii="Times New Roman" w:cs="Times New Roman" w:eastAsia="Times New Roman" w:hAnsi="Times New Roman"/>
          <w:sz w:val="18"/>
          <w:szCs w:val="18"/>
          <w:color w:val="auto"/>
        </w:rPr>
      </w:pPr>
    </w:p>
    <w:p>
      <w:pPr>
        <w:ind w:left="500" w:hanging="492"/>
        <w:spacing w:after="0" w:line="250"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conversion of our remaining preferred stock into common stock in July 2014, we computed the effect on diluted earnings per share using the if-converted method. For purposes of computing diluted earnings per share, we assume the conversion of the preferred stock into shares of common stock unless the effect is anti-dilutive. Conversion of the preferred stock was not assumed for the nine months ended September 30, 2014 because the effect would have been antidilutive.</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anti-dilutive because their exercise price was greater than the average market price of our stock.</w:t>
      </w:r>
    </w:p>
    <w:p>
      <w:pPr>
        <w:spacing w:after="0" w:line="9" w:lineRule="exact"/>
        <w:rPr>
          <w:rFonts w:ascii="Times New Roman" w:cs="Times New Roman" w:eastAsia="Times New Roman" w:hAnsi="Times New Roman"/>
          <w:sz w:val="18"/>
          <w:szCs w:val="18"/>
          <w:color w:val="auto"/>
        </w:rPr>
      </w:pPr>
    </w:p>
    <w:p>
      <w:pPr>
        <w:ind w:left="500" w:right="640" w:hanging="492"/>
        <w:spacing w:after="0" w:line="261"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that are issuable upon the achievement of certain performance criteria related to Ocwen’s stock price and an annualized rate of return to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Business Segment Reporting</w:t>
      </w:r>
    </w:p>
    <w:p>
      <w:pPr>
        <w:spacing w:after="0" w:line="121"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ectPr>
          <w:pgSz w:w="11900" w:h="16838" w:orient="portrait"/>
          <w:cols w:equalWidth="0" w:num="1">
            <w:col w:w="11420"/>
          </w:cols>
          <w:pgMar w:left="240" w:top="792"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792" w:right="239" w:bottom="1440" w:gutter="0" w:footer="0" w:header="0"/>
          <w:type w:val="continuous"/>
        </w:sectPr>
      </w:pPr>
    </w:p>
    <w:bookmarkStart w:id="41" w:name="page42"/>
    <w:bookmarkEnd w:id="41"/>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Servicing. </w:t>
      </w:r>
      <w:r>
        <w:rPr>
          <w:rFonts w:ascii="Times New Roman" w:cs="Times New Roman" w:eastAsia="Times New Roman" w:hAnsi="Times New Roman"/>
          <w:sz w:val="18"/>
          <w:szCs w:val="18"/>
          <w:color w:val="auto"/>
        </w:rPr>
        <w:t>This segment is primarily comprised of our core residential servicing business. We provide residential and commercial mortgage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 insured and non-Agency loans. Non-Agency loans include subprime loans, which represent residential loans that generally did not qualify under GSE guidelines or have subsequently become delinquent.</w:t>
      </w:r>
    </w:p>
    <w:p>
      <w:pPr>
        <w:spacing w:after="0" w:line="75"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Lending. </w:t>
      </w:r>
      <w:r>
        <w:rPr>
          <w:rFonts w:ascii="Times New Roman" w:cs="Times New Roman" w:eastAsia="Times New Roman" w:hAnsi="Times New Roman"/>
          <w:sz w:val="18"/>
          <w:szCs w:val="18"/>
          <w:color w:val="auto"/>
        </w:rPr>
        <w:t>The Lending segment is focused on originating and purchasing conventional and government insured residential forward and reverse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mainly through our correspondent lending arrangements, broker relationships and directly with mortgage customers. The loans are typically sold shortly after origination into a liquid market on a servicing retained basis.</w:t>
      </w:r>
    </w:p>
    <w:p>
      <w:pPr>
        <w:spacing w:after="0" w:line="6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Items and Other. </w:t>
      </w:r>
      <w:r>
        <w:rPr>
          <w:rFonts w:ascii="Times New Roman" w:cs="Times New Roman" w:eastAsia="Times New Roman" w:hAnsi="Times New Roman"/>
          <w:sz w:val="18"/>
          <w:szCs w:val="18"/>
          <w:color w:val="auto"/>
        </w:rPr>
        <w:t>Corporate Items and Other includes revenues and expenses that are not directly related to other reportable segments,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that are individually insignificant, interest income on short-term investments of cash, interest expense on corporate debt and certain corporate expenses. Business activities not currently considered to be of continuing significance include residential subprime non-Agency loans held for sale (at lower of cost or fair value), investments in residential mortgage-backed securities and affordable housing investment activities.</w:t>
      </w:r>
    </w:p>
    <w:p>
      <w:pPr>
        <w:spacing w:after="0" w:line="7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allocate interest income and expense to each business segment for funds raised or for funding of investments made, including interest earned on cash balances and short-term investments and interest incurred on corporate debt. We also allocate expenses generated by corporate support services to each business segment.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Business</w:t>
            </w:r>
          </w:p>
        </w:tc>
      </w:tr>
      <w:tr>
        <w:trPr>
          <w:trHeight w:val="216"/>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Segments</w:t>
            </w:r>
          </w:p>
        </w:tc>
      </w:tr>
      <w:tr>
        <w:trPr>
          <w:trHeight w:val="238"/>
        </w:trPr>
        <w:tc>
          <w:tcPr>
            <w:tcW w:w="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7"/>
        </w:trPr>
        <w:tc>
          <w:tcPr>
            <w:tcW w:w="40" w:type="dxa"/>
            <w:vAlign w:val="bottom"/>
            <w:tcBorders>
              <w:bottom w:val="single" w:sz="8" w:color="EAF9E8"/>
            </w:tcBorders>
          </w:tcPr>
          <w:p>
            <w:pPr>
              <w:spacing w:after="0"/>
              <w:rPr>
                <w:sz w:val="2"/>
                <w:szCs w:val="2"/>
                <w:color w:val="auto"/>
              </w:rPr>
            </w:pPr>
          </w:p>
        </w:tc>
        <w:tc>
          <w:tcPr>
            <w:tcW w:w="31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gridSpan w:val="3"/>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03"/>
        </w:trPr>
        <w:tc>
          <w:tcPr>
            <w:tcW w:w="35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 September 30, 2015</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374,936</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29,662</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404,946</w:t>
            </w:r>
          </w:p>
        </w:tc>
      </w:tr>
      <w:tr>
        <w:trPr>
          <w:trHeight w:val="29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318,439</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23,126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46,161</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387,726</w:t>
            </w:r>
          </w:p>
        </w:tc>
      </w:tr>
      <w:tr>
        <w:trPr>
          <w:trHeight w:val="291"/>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5,693</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(109,357)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(118,313)</w:t>
            </w: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39,482</w:t>
            </w:r>
          </w:p>
        </w:tc>
      </w:tr>
      <w:tr>
        <w:trPr>
          <w:trHeight w:val="27"/>
        </w:trPr>
        <w:tc>
          <w:tcPr>
            <w:tcW w:w="40" w:type="dxa"/>
            <w:vAlign w:val="bottom"/>
            <w:tcBorders>
              <w:bottom w:val="single" w:sz="8" w:color="EAF9E8"/>
            </w:tcBorders>
          </w:tcPr>
          <w:p>
            <w:pPr>
              <w:spacing w:after="0"/>
              <w:rPr>
                <w:sz w:val="2"/>
                <w:szCs w:val="2"/>
                <w:color w:val="auto"/>
              </w:rPr>
            </w:pPr>
          </w:p>
        </w:tc>
        <w:tc>
          <w:tcPr>
            <w:tcW w:w="31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3500" w:type="dxa"/>
            <w:vAlign w:val="bottom"/>
            <w:tcBorders>
              <w:bottom w:val="single" w:sz="8" w:color="EAF9E8"/>
            </w:tcBorders>
            <w:gridSpan w:val="2"/>
            <w:shd w:val="clear" w:color="auto" w:fill="EAF9E8"/>
          </w:tcPr>
          <w:p>
            <w:pPr>
              <w:ind w:left="6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(69,239)</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(73,138)</w:t>
            </w:r>
          </w:p>
        </w:tc>
      </w:tr>
      <w:tr>
        <w:trPr>
          <w:trHeight w:val="183"/>
        </w:trPr>
        <w:tc>
          <w:tcPr>
            <w:tcW w:w="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64"/>
        </w:trPr>
        <w:tc>
          <w:tcPr>
            <w:tcW w:w="40" w:type="dxa"/>
            <w:vAlign w:val="bottom"/>
            <w:shd w:val="clear" w:color="auto" w:fill="EAF9E8"/>
          </w:tcPr>
          <w:p>
            <w:pPr>
              <w:spacing w:after="0"/>
              <w:rPr>
                <w:sz w:val="22"/>
                <w:szCs w:val="22"/>
                <w:color w:val="auto"/>
              </w:rPr>
            </w:pPr>
          </w:p>
        </w:tc>
        <w:tc>
          <w:tcPr>
            <w:tcW w:w="3500" w:type="dxa"/>
            <w:vAlign w:val="bottom"/>
            <w:gridSpan w:val="2"/>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(51,764)</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(55,918)</w:t>
            </w: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312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0"/>
        </w:trPr>
        <w:tc>
          <w:tcPr>
            <w:tcW w:w="3540" w:type="dxa"/>
            <w:vAlign w:val="bottom"/>
            <w:gridSpan w:val="3"/>
            <w:shd w:val="clear" w:color="auto" w:fill="EAF9E8"/>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 September 30, 2014</w:t>
            </w:r>
          </w:p>
        </w:tc>
        <w:tc>
          <w:tcPr>
            <w:tcW w:w="26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31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Revenue (1)</w:t>
            </w:r>
          </w:p>
        </w:tc>
        <w:tc>
          <w:tcPr>
            <w:tcW w:w="380" w:type="dxa"/>
            <w:vAlign w:val="bottom"/>
            <w:tcBorders>
              <w:top w:val="single" w:sz="8" w:color="EAF9E8"/>
            </w:tcBorders>
          </w:tcPr>
          <w:p>
            <w:pPr>
              <w:spacing w:after="0"/>
              <w:rPr>
                <w:sz w:val="21"/>
                <w:szCs w:val="21"/>
                <w:color w:val="auto"/>
              </w:rPr>
            </w:pPr>
          </w:p>
        </w:tc>
        <w:tc>
          <w:tcPr>
            <w:tcW w:w="260" w:type="dxa"/>
            <w:vAlign w:val="bottom"/>
            <w:tcBorders>
              <w:top w:val="single" w:sz="8" w:color="EAF9E8"/>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EAF9E8"/>
            </w:tcBorders>
          </w:tcPr>
          <w:p>
            <w:pPr>
              <w:jc w:val="right"/>
              <w:ind w:right="30"/>
              <w:spacing w:after="0"/>
              <w:rPr>
                <w:sz w:val="20"/>
                <w:szCs w:val="20"/>
                <w:color w:val="auto"/>
              </w:rPr>
            </w:pPr>
            <w:r>
              <w:rPr>
                <w:rFonts w:ascii="Times New Roman" w:cs="Times New Roman" w:eastAsia="Times New Roman" w:hAnsi="Times New Roman"/>
                <w:sz w:val="18"/>
                <w:szCs w:val="18"/>
                <w:color w:val="auto"/>
              </w:rPr>
              <w:t>485,303</w:t>
            </w:r>
          </w:p>
        </w:tc>
        <w:tc>
          <w:tcPr>
            <w:tcW w:w="120" w:type="dxa"/>
            <w:vAlign w:val="bottom"/>
            <w:tcBorders>
              <w:top w:val="single" w:sz="8" w:color="EAF9E8"/>
            </w:tcBorders>
          </w:tcPr>
          <w:p>
            <w:pPr>
              <w:spacing w:after="0"/>
              <w:rPr>
                <w:sz w:val="21"/>
                <w:szCs w:val="21"/>
                <w:color w:val="auto"/>
              </w:rPr>
            </w:pPr>
          </w:p>
        </w:tc>
        <w:tc>
          <w:tcPr>
            <w:tcW w:w="280" w:type="dxa"/>
            <w:vAlign w:val="bottom"/>
            <w:tcBorders>
              <w:top w:val="single" w:sz="8" w:color="EAF9E8"/>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EAF9E8"/>
            </w:tcBorders>
          </w:tcPr>
          <w:p>
            <w:pPr>
              <w:jc w:val="right"/>
              <w:ind w:right="10"/>
              <w:spacing w:after="0"/>
              <w:rPr>
                <w:sz w:val="20"/>
                <w:szCs w:val="20"/>
                <w:color w:val="auto"/>
              </w:rPr>
            </w:pPr>
            <w:r>
              <w:rPr>
                <w:rFonts w:ascii="Times New Roman" w:cs="Times New Roman" w:eastAsia="Times New Roman" w:hAnsi="Times New Roman"/>
                <w:sz w:val="18"/>
                <w:szCs w:val="18"/>
                <w:color w:val="auto"/>
              </w:rPr>
              <w:t>26,877</w:t>
            </w:r>
          </w:p>
        </w:tc>
        <w:tc>
          <w:tcPr>
            <w:tcW w:w="100" w:type="dxa"/>
            <w:vAlign w:val="bottom"/>
            <w:tcBorders>
              <w:top w:val="single" w:sz="8" w:color="EAF9E8"/>
            </w:tcBorders>
          </w:tcPr>
          <w:p>
            <w:pPr>
              <w:spacing w:after="0"/>
              <w:rPr>
                <w:sz w:val="21"/>
                <w:szCs w:val="21"/>
                <w:color w:val="auto"/>
              </w:rPr>
            </w:pPr>
          </w:p>
        </w:tc>
        <w:tc>
          <w:tcPr>
            <w:tcW w:w="240" w:type="dxa"/>
            <w:vAlign w:val="bottom"/>
            <w:tcBorders>
              <w:top w:val="single" w:sz="8" w:color="EAF9E8"/>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EAF9E8"/>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EAF9E8"/>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EAF9E8"/>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513,698</w:t>
            </w:r>
          </w:p>
        </w:tc>
      </w:tr>
      <w:tr>
        <w:trPr>
          <w:trHeight w:val="27"/>
        </w:trPr>
        <w:tc>
          <w:tcPr>
            <w:tcW w:w="40" w:type="dxa"/>
            <w:vAlign w:val="bottom"/>
            <w:tcBorders>
              <w:bottom w:val="single" w:sz="8" w:color="EAF9E8"/>
            </w:tcBorders>
          </w:tcPr>
          <w:p>
            <w:pPr>
              <w:spacing w:after="0"/>
              <w:rPr>
                <w:sz w:val="2"/>
                <w:szCs w:val="2"/>
                <w:color w:val="auto"/>
              </w:rPr>
            </w:pPr>
          </w:p>
        </w:tc>
        <w:tc>
          <w:tcPr>
            <w:tcW w:w="31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EAF9E8"/>
          </w:tcPr>
          <w:p>
            <w:pPr>
              <w:spacing w:after="0"/>
              <w:rPr>
                <w:sz w:val="24"/>
                <w:szCs w:val="24"/>
                <w:color w:val="auto"/>
              </w:rPr>
            </w:pPr>
          </w:p>
        </w:tc>
        <w:tc>
          <w:tcPr>
            <w:tcW w:w="312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Expenses (1) (2)</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313,964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455,039</w:t>
            </w:r>
          </w:p>
        </w:tc>
      </w:tr>
      <w:tr>
        <w:trPr>
          <w:trHeight w:val="27"/>
        </w:trPr>
        <w:tc>
          <w:tcPr>
            <w:tcW w:w="40" w:type="dxa"/>
            <w:vAlign w:val="bottom"/>
            <w:tcBorders>
              <w:bottom w:val="single" w:sz="8" w:color="EAF9E8"/>
            </w:tcBorders>
          </w:tcPr>
          <w:p>
            <w:pPr>
              <w:spacing w:after="0"/>
              <w:rPr>
                <w:sz w:val="2"/>
                <w:szCs w:val="2"/>
                <w:color w:val="auto"/>
              </w:rPr>
            </w:pPr>
          </w:p>
        </w:tc>
        <w:tc>
          <w:tcPr>
            <w:tcW w:w="31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shd w:val="clear" w:color="auto" w:fill="EAF9E8"/>
          </w:tcPr>
          <w:p>
            <w:pPr>
              <w:spacing w:after="0"/>
              <w:rPr>
                <w:sz w:val="22"/>
                <w:szCs w:val="22"/>
                <w:color w:val="auto"/>
              </w:rPr>
            </w:pPr>
          </w:p>
        </w:tc>
        <w:tc>
          <w:tcPr>
            <w:tcW w:w="3120" w:type="dxa"/>
            <w:vAlign w:val="bottom"/>
            <w:shd w:val="clear" w:color="auto" w:fill="EAF9E8"/>
          </w:tcPr>
          <w:p>
            <w:pPr>
              <w:spacing w:after="0"/>
              <w:rPr>
                <w:sz w:val="22"/>
                <w:szCs w:val="22"/>
                <w:color w:val="auto"/>
              </w:rPr>
            </w:pPr>
          </w:p>
        </w:tc>
        <w:tc>
          <w:tcPr>
            <w:tcW w:w="38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spacing w:after="0"/>
              <w:rPr>
                <w:sz w:val="22"/>
                <w:szCs w:val="22"/>
                <w:color w:val="auto"/>
              </w:rPr>
            </w:pPr>
          </w:p>
        </w:tc>
        <w:tc>
          <w:tcPr>
            <w:tcW w:w="12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30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300" w:type="dxa"/>
            <w:vAlign w:val="bottom"/>
            <w:shd w:val="clear" w:color="auto" w:fill="EAF9E8"/>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4,825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6,593</w:t>
            </w: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(133,049)</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(4,469)</w:t>
            </w:r>
          </w:p>
        </w:tc>
      </w:tr>
      <w:tr>
        <w:trPr>
          <w:trHeight w:val="237"/>
        </w:trPr>
        <w:tc>
          <w:tcPr>
            <w:tcW w:w="40" w:type="dxa"/>
            <w:vAlign w:val="bottom"/>
          </w:tcPr>
          <w:p>
            <w:pPr>
              <w:spacing w:after="0"/>
              <w:rPr>
                <w:sz w:val="20"/>
                <w:szCs w:val="20"/>
                <w:color w:val="auto"/>
              </w:rPr>
            </w:pPr>
          </w:p>
        </w:tc>
        <w:tc>
          <w:tcPr>
            <w:tcW w:w="35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(130,925)</w:t>
            </w:r>
          </w:p>
        </w:tc>
      </w:tr>
      <w:tr>
        <w:trPr>
          <w:trHeight w:val="27"/>
        </w:trPr>
        <w:tc>
          <w:tcPr>
            <w:tcW w:w="40" w:type="dxa"/>
            <w:vAlign w:val="bottom"/>
            <w:tcBorders>
              <w:bottom w:val="single" w:sz="8" w:color="EAF9E8"/>
            </w:tcBorders>
          </w:tcPr>
          <w:p>
            <w:pPr>
              <w:spacing w:after="0"/>
              <w:rPr>
                <w:sz w:val="2"/>
                <w:szCs w:val="2"/>
                <w:color w:val="auto"/>
              </w:rPr>
            </w:pPr>
          </w:p>
        </w:tc>
        <w:tc>
          <w:tcPr>
            <w:tcW w:w="312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EAF9E8"/>
          </w:tcPr>
          <w:p>
            <w:pPr>
              <w:spacing w:after="0"/>
              <w:rPr>
                <w:sz w:val="15"/>
                <w:szCs w:val="15"/>
                <w:color w:val="auto"/>
              </w:rPr>
            </w:pPr>
          </w:p>
        </w:tc>
        <w:tc>
          <w:tcPr>
            <w:tcW w:w="3120" w:type="dxa"/>
            <w:vAlign w:val="bottom"/>
            <w:shd w:val="clear" w:color="auto" w:fill="EAF9E8"/>
          </w:tcPr>
          <w:p>
            <w:pPr>
              <w:spacing w:after="0"/>
              <w:rPr>
                <w:sz w:val="15"/>
                <w:szCs w:val="15"/>
                <w:color w:val="auto"/>
              </w:rPr>
            </w:pPr>
          </w:p>
        </w:tc>
        <w:tc>
          <w:tcPr>
            <w:tcW w:w="38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44,518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(72,266)</w:t>
            </w:r>
          </w:p>
        </w:tc>
      </w:tr>
      <w:tr>
        <w:trPr>
          <w:trHeight w:val="163"/>
        </w:trPr>
        <w:tc>
          <w:tcPr>
            <w:tcW w:w="40" w:type="dxa"/>
            <w:vAlign w:val="bottom"/>
            <w:tcBorders>
              <w:top w:val="single" w:sz="8" w:color="EAF9E8"/>
            </w:tcBorders>
            <w:shd w:val="clear" w:color="auto" w:fill="EAF9E8"/>
          </w:tcPr>
          <w:p>
            <w:pPr>
              <w:spacing w:after="0"/>
              <w:rPr>
                <w:sz w:val="14"/>
                <w:szCs w:val="14"/>
                <w:color w:val="auto"/>
              </w:rPr>
            </w:pPr>
          </w:p>
        </w:tc>
        <w:tc>
          <w:tcPr>
            <w:tcW w:w="3120" w:type="dxa"/>
            <w:vAlign w:val="bottom"/>
            <w:tcBorders>
              <w:top w:val="single" w:sz="8" w:color="EAF9E8"/>
            </w:tcBorders>
            <w:shd w:val="clear" w:color="auto" w:fill="EAF9E8"/>
          </w:tcPr>
          <w:p>
            <w:pPr>
              <w:spacing w:after="0"/>
              <w:rPr>
                <w:sz w:val="14"/>
                <w:szCs w:val="14"/>
                <w:color w:val="auto"/>
              </w:rPr>
            </w:pPr>
          </w:p>
        </w:tc>
        <w:tc>
          <w:tcPr>
            <w:tcW w:w="380" w:type="dxa"/>
            <w:vAlign w:val="bottom"/>
            <w:tcBorders>
              <w:top w:val="single" w:sz="8" w:color="EAF9E8"/>
            </w:tcBorders>
            <w:shd w:val="clear" w:color="auto" w:fill="EAF9E8"/>
          </w:tcPr>
          <w:p>
            <w:pPr>
              <w:spacing w:after="0"/>
              <w:rPr>
                <w:sz w:val="14"/>
                <w:szCs w:val="14"/>
                <w:color w:val="auto"/>
              </w:rPr>
            </w:pPr>
          </w:p>
        </w:tc>
        <w:tc>
          <w:tcPr>
            <w:tcW w:w="260" w:type="dxa"/>
            <w:vAlign w:val="bottom"/>
            <w:tcBorders>
              <w:top w:val="single" w:sz="8" w:color="auto"/>
            </w:tcBorders>
            <w:shd w:val="clear" w:color="auto" w:fill="EAF9E8"/>
          </w:tcPr>
          <w:p>
            <w:pPr>
              <w:spacing w:after="0"/>
              <w:rPr>
                <w:sz w:val="14"/>
                <w:szCs w:val="14"/>
                <w:color w:val="auto"/>
              </w:rPr>
            </w:pPr>
          </w:p>
        </w:tc>
        <w:tc>
          <w:tcPr>
            <w:tcW w:w="1260" w:type="dxa"/>
            <w:vAlign w:val="bottom"/>
            <w:tcBorders>
              <w:top w:val="single" w:sz="8" w:color="auto"/>
            </w:tcBorders>
            <w:shd w:val="clear" w:color="auto" w:fill="EAF9E8"/>
          </w:tcPr>
          <w:p>
            <w:pPr>
              <w:spacing w:after="0"/>
              <w:rPr>
                <w:sz w:val="14"/>
                <w:szCs w:val="14"/>
                <w:color w:val="auto"/>
              </w:rPr>
            </w:pPr>
          </w:p>
        </w:tc>
        <w:tc>
          <w:tcPr>
            <w:tcW w:w="120" w:type="dxa"/>
            <w:vAlign w:val="bottom"/>
            <w:tcBorders>
              <w:top w:val="single" w:sz="8" w:color="EAF9E8"/>
            </w:tcBorders>
            <w:shd w:val="clear" w:color="auto" w:fill="EAF9E8"/>
          </w:tcPr>
          <w:p>
            <w:pPr>
              <w:spacing w:after="0"/>
              <w:rPr>
                <w:sz w:val="14"/>
                <w:szCs w:val="14"/>
                <w:color w:val="auto"/>
              </w:rPr>
            </w:pPr>
          </w:p>
        </w:tc>
        <w:tc>
          <w:tcPr>
            <w:tcW w:w="280" w:type="dxa"/>
            <w:vAlign w:val="bottom"/>
            <w:tcBorders>
              <w:top w:val="single" w:sz="8" w:color="auto"/>
            </w:tcBorders>
            <w:shd w:val="clear" w:color="auto" w:fill="EAF9E8"/>
          </w:tcPr>
          <w:p>
            <w:pPr>
              <w:spacing w:after="0"/>
              <w:rPr>
                <w:sz w:val="14"/>
                <w:szCs w:val="14"/>
                <w:color w:val="auto"/>
              </w:rPr>
            </w:pPr>
          </w:p>
        </w:tc>
        <w:tc>
          <w:tcPr>
            <w:tcW w:w="122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240" w:type="dxa"/>
            <w:vAlign w:val="bottom"/>
            <w:tcBorders>
              <w:top w:val="single" w:sz="8" w:color="auto"/>
            </w:tcBorders>
            <w:shd w:val="clear" w:color="auto" w:fill="EAF9E8"/>
          </w:tcPr>
          <w:p>
            <w:pPr>
              <w:spacing w:after="0"/>
              <w:rPr>
                <w:sz w:val="14"/>
                <w:szCs w:val="14"/>
                <w:color w:val="auto"/>
              </w:rPr>
            </w:pPr>
          </w:p>
        </w:tc>
        <w:tc>
          <w:tcPr>
            <w:tcW w:w="124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c>
          <w:tcPr>
            <w:tcW w:w="100" w:type="dxa"/>
            <w:vAlign w:val="bottom"/>
            <w:tcBorders>
              <w:top w:val="single" w:sz="8" w:color="EAF9E8"/>
            </w:tcBorders>
            <w:shd w:val="clear" w:color="auto" w:fill="EAF9E8"/>
          </w:tcPr>
          <w:p>
            <w:pPr>
              <w:spacing w:after="0"/>
              <w:rPr>
                <w:sz w:val="14"/>
                <w:szCs w:val="14"/>
                <w:color w:val="auto"/>
              </w:rPr>
            </w:pPr>
          </w:p>
        </w:tc>
        <w:tc>
          <w:tcPr>
            <w:tcW w:w="180" w:type="dxa"/>
            <w:vAlign w:val="bottom"/>
            <w:tcBorders>
              <w:top w:val="single" w:sz="8" w:color="auto"/>
            </w:tcBorders>
            <w:shd w:val="clear" w:color="auto" w:fill="EAF9E8"/>
          </w:tcPr>
          <w:p>
            <w:pPr>
              <w:spacing w:after="0"/>
              <w:rPr>
                <w:sz w:val="14"/>
                <w:szCs w:val="14"/>
                <w:color w:val="auto"/>
              </w:rPr>
            </w:pPr>
          </w:p>
        </w:tc>
        <w:tc>
          <w:tcPr>
            <w:tcW w:w="1300" w:type="dxa"/>
            <w:vAlign w:val="bottom"/>
            <w:tcBorders>
              <w:top w:val="single" w:sz="8" w:color="auto"/>
            </w:tcBorders>
            <w:shd w:val="clear" w:color="auto" w:fill="EAF9E8"/>
          </w:tcPr>
          <w:p>
            <w:pPr>
              <w:spacing w:after="0"/>
              <w:rPr>
                <w:sz w:val="14"/>
                <w:szCs w:val="14"/>
                <w:color w:val="auto"/>
              </w:rPr>
            </w:pPr>
          </w:p>
        </w:tc>
      </w:tr>
      <w:tr>
        <w:trPr>
          <w:trHeight w:val="459"/>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686"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2015</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02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Revenue (1)</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1,269,269</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106,721</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1,378,641</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Expenses (1) (2)</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940,764</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73,497</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104,133</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1,118,336</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(336,088)</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(19,460)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(362,606)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85,406</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4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EAF9E8"/>
            </w:tcBorders>
            <w:shd w:val="clear" w:color="auto" w:fill="EAF9E8"/>
          </w:tcPr>
          <w:p>
            <w:pPr>
              <w:spacing w:after="0"/>
              <w:rPr>
                <w:sz w:val="22"/>
                <w:szCs w:val="22"/>
                <w:color w:val="auto"/>
              </w:rPr>
            </w:pPr>
          </w:p>
        </w:tc>
        <w:tc>
          <w:tcPr>
            <w:tcW w:w="3500" w:type="dxa"/>
            <w:vAlign w:val="bottom"/>
            <w:tcBorders>
              <w:bottom w:val="single" w:sz="8" w:color="EAF9E8"/>
            </w:tcBorders>
            <w:gridSpan w:val="2"/>
            <w:shd w:val="clear" w:color="auto" w:fill="EAF9E8"/>
          </w:tcPr>
          <w:p>
            <w:pPr>
              <w:ind w:left="6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(249,947)</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(260,894)</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EAF9E8"/>
          </w:tcPr>
          <w:p>
            <w:pPr>
              <w:spacing w:after="0"/>
              <w:rPr>
                <w:sz w:val="22"/>
                <w:szCs w:val="22"/>
                <w:color w:val="auto"/>
              </w:rPr>
            </w:pPr>
          </w:p>
        </w:tc>
        <w:tc>
          <w:tcPr>
            <w:tcW w:w="3500" w:type="dxa"/>
            <w:vAlign w:val="bottom"/>
            <w:gridSpan w:val="2"/>
            <w:shd w:val="clear" w:color="auto" w:fill="EAF9E8"/>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78,558</w:t>
            </w: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39,017</w:t>
            </w:r>
          </w:p>
        </w:tc>
        <w:tc>
          <w:tcPr>
            <w:tcW w:w="100" w:type="dxa"/>
            <w:vAlign w:val="bottom"/>
            <w:shd w:val="clear" w:color="auto" w:fill="EAF9E8"/>
          </w:tcPr>
          <w:p>
            <w:pPr>
              <w:spacing w:after="0"/>
              <w:rPr>
                <w:sz w:val="22"/>
                <w:szCs w:val="22"/>
                <w:color w:val="auto"/>
              </w:rPr>
            </w:pPr>
          </w:p>
        </w:tc>
        <w:tc>
          <w:tcPr>
            <w:tcW w:w="24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(118,164)</w:t>
            </w:r>
          </w:p>
        </w:tc>
        <w:tc>
          <w:tcPr>
            <w:tcW w:w="10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0"/>
        </w:trPr>
        <w:tc>
          <w:tcPr>
            <w:tcW w:w="40" w:type="dxa"/>
            <w:vAlign w:val="bottom"/>
            <w:tcBorders>
              <w:top w:val="single" w:sz="8" w:color="EAF9E8"/>
            </w:tcBorders>
          </w:tcPr>
          <w:p>
            <w:pPr>
              <w:spacing w:after="0" w:line="20" w:lineRule="exact"/>
              <w:rPr>
                <w:sz w:val="1"/>
                <w:szCs w:val="1"/>
                <w:color w:val="auto"/>
              </w:rPr>
            </w:pPr>
          </w:p>
        </w:tc>
        <w:tc>
          <w:tcPr>
            <w:tcW w:w="3020" w:type="dxa"/>
            <w:vAlign w:val="bottom"/>
            <w:tcBorders>
              <w:top w:val="single" w:sz="8" w:color="EAF9E8"/>
            </w:tcBorders>
          </w:tcPr>
          <w:p>
            <w:pPr>
              <w:spacing w:after="0" w:line="20" w:lineRule="exact"/>
              <w:rPr>
                <w:sz w:val="1"/>
                <w:szCs w:val="1"/>
                <w:color w:val="auto"/>
              </w:rPr>
            </w:pPr>
          </w:p>
        </w:tc>
        <w:tc>
          <w:tcPr>
            <w:tcW w:w="480" w:type="dxa"/>
            <w:vAlign w:val="bottom"/>
            <w:tcBorders>
              <w:top w:val="single" w:sz="8" w:color="EAF9E8"/>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540" w:type="dxa"/>
            <w:vAlign w:val="bottom"/>
            <w:gridSpan w:val="3"/>
            <w:shd w:val="clear" w:color="auto" w:fill="EAF9E8"/>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 September 30, 2014</w:t>
            </w:r>
          </w:p>
        </w:tc>
        <w:tc>
          <w:tcPr>
            <w:tcW w:w="26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22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30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EAF9E8"/>
            </w:tcBorders>
          </w:tcPr>
          <w:p>
            <w:pPr>
              <w:spacing w:after="0"/>
              <w:rPr>
                <w:sz w:val="21"/>
                <w:szCs w:val="21"/>
                <w:color w:val="auto"/>
              </w:rPr>
            </w:pPr>
          </w:p>
        </w:tc>
        <w:tc>
          <w:tcPr>
            <w:tcW w:w="30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Revenue (1)</w:t>
            </w:r>
          </w:p>
        </w:tc>
        <w:tc>
          <w:tcPr>
            <w:tcW w:w="480" w:type="dxa"/>
            <w:vAlign w:val="bottom"/>
            <w:tcBorders>
              <w:top w:val="single" w:sz="8" w:color="EAF9E8"/>
            </w:tcBorders>
          </w:tcPr>
          <w:p>
            <w:pPr>
              <w:spacing w:after="0"/>
              <w:rPr>
                <w:sz w:val="21"/>
                <w:szCs w:val="21"/>
                <w:color w:val="auto"/>
              </w:rPr>
            </w:pPr>
          </w:p>
        </w:tc>
        <w:tc>
          <w:tcPr>
            <w:tcW w:w="260" w:type="dxa"/>
            <w:vAlign w:val="bottom"/>
            <w:tcBorders>
              <w:top w:val="single" w:sz="8" w:color="EAF9E8"/>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EAF9E8"/>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1,526,606</w:t>
            </w:r>
          </w:p>
        </w:tc>
        <w:tc>
          <w:tcPr>
            <w:tcW w:w="120" w:type="dxa"/>
            <w:vAlign w:val="bottom"/>
            <w:tcBorders>
              <w:top w:val="single" w:sz="8" w:color="EAF9E8"/>
            </w:tcBorders>
          </w:tcPr>
          <w:p>
            <w:pPr>
              <w:spacing w:after="0"/>
              <w:rPr>
                <w:sz w:val="21"/>
                <w:szCs w:val="21"/>
                <w:color w:val="auto"/>
              </w:rPr>
            </w:pPr>
          </w:p>
        </w:tc>
        <w:tc>
          <w:tcPr>
            <w:tcW w:w="280" w:type="dxa"/>
            <w:vAlign w:val="bottom"/>
            <w:tcBorders>
              <w:top w:val="single" w:sz="8" w:color="EAF9E8"/>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EAF9E8"/>
            </w:tcBorders>
          </w:tcPr>
          <w:p>
            <w:pPr>
              <w:jc w:val="right"/>
              <w:ind w:right="10"/>
              <w:spacing w:after="0"/>
              <w:rPr>
                <w:sz w:val="20"/>
                <w:szCs w:val="20"/>
                <w:color w:val="auto"/>
              </w:rPr>
            </w:pPr>
            <w:r>
              <w:rPr>
                <w:rFonts w:ascii="Times New Roman" w:cs="Times New Roman" w:eastAsia="Times New Roman" w:hAnsi="Times New Roman"/>
                <w:sz w:val="18"/>
                <w:szCs w:val="18"/>
                <w:color w:val="auto"/>
              </w:rPr>
              <w:t>86,811</w:t>
            </w:r>
          </w:p>
        </w:tc>
        <w:tc>
          <w:tcPr>
            <w:tcW w:w="100" w:type="dxa"/>
            <w:vAlign w:val="bottom"/>
            <w:tcBorders>
              <w:top w:val="single" w:sz="8" w:color="EAF9E8"/>
            </w:tcBorders>
          </w:tcPr>
          <w:p>
            <w:pPr>
              <w:spacing w:after="0"/>
              <w:rPr>
                <w:sz w:val="21"/>
                <w:szCs w:val="21"/>
                <w:color w:val="auto"/>
              </w:rPr>
            </w:pPr>
          </w:p>
        </w:tc>
        <w:tc>
          <w:tcPr>
            <w:tcW w:w="240" w:type="dxa"/>
            <w:vAlign w:val="bottom"/>
            <w:tcBorders>
              <w:top w:val="single" w:sz="8" w:color="EAF9E8"/>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EAF9E8"/>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EAF9E8"/>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EAF9E8"/>
            </w:tcBorders>
          </w:tcPr>
          <w:p>
            <w:pPr>
              <w:spacing w:after="0"/>
              <w:rPr>
                <w:sz w:val="21"/>
                <w:szCs w:val="21"/>
                <w:color w:val="auto"/>
              </w:rPr>
            </w:pPr>
          </w:p>
        </w:tc>
        <w:tc>
          <w:tcPr>
            <w:tcW w:w="180" w:type="dxa"/>
            <w:vAlign w:val="bottom"/>
            <w:tcBorders>
              <w:top w:val="single" w:sz="8" w:color="EAF9E8"/>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EAF9E8"/>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1,618,033</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4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EAF9E8"/>
          </w:tcPr>
          <w:p>
            <w:pPr>
              <w:spacing w:after="0"/>
              <w:rPr>
                <w:sz w:val="24"/>
                <w:szCs w:val="24"/>
                <w:color w:val="auto"/>
              </w:rPr>
            </w:pPr>
          </w:p>
        </w:tc>
        <w:tc>
          <w:tcPr>
            <w:tcW w:w="3020" w:type="dxa"/>
            <w:vAlign w:val="bottom"/>
            <w:shd w:val="clear" w:color="auto" w:fill="EAF9E8"/>
          </w:tcPr>
          <w:p>
            <w:pPr>
              <w:spacing w:after="0"/>
              <w:rPr>
                <w:sz w:val="24"/>
                <w:szCs w:val="24"/>
                <w:color w:val="auto"/>
              </w:rPr>
            </w:pPr>
          </w:p>
        </w:tc>
        <w:tc>
          <w:tcPr>
            <w:tcW w:w="48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Expenses (1) (2)</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919,998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1,149,696</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4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EAF9E8"/>
          </w:tcPr>
          <w:p>
            <w:pPr>
              <w:spacing w:after="0"/>
              <w:rPr>
                <w:sz w:val="24"/>
                <w:szCs w:val="24"/>
                <w:color w:val="auto"/>
              </w:rPr>
            </w:pPr>
          </w:p>
        </w:tc>
        <w:tc>
          <w:tcPr>
            <w:tcW w:w="3020" w:type="dxa"/>
            <w:vAlign w:val="bottom"/>
            <w:shd w:val="clear" w:color="auto" w:fill="EAF9E8"/>
          </w:tcPr>
          <w:p>
            <w:pPr>
              <w:spacing w:after="0"/>
              <w:rPr>
                <w:sz w:val="24"/>
                <w:szCs w:val="24"/>
                <w:color w:val="auto"/>
              </w:rPr>
            </w:pPr>
          </w:p>
        </w:tc>
        <w:tc>
          <w:tcPr>
            <w:tcW w:w="48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EAF9E8"/>
            </w:tcBorders>
            <w:shd w:val="clear" w:color="auto" w:fill="EAF9E8"/>
          </w:tcPr>
          <w:p>
            <w:pPr>
              <w:spacing w:after="0"/>
              <w:rPr>
                <w:sz w:val="21"/>
                <w:szCs w:val="21"/>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13,117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17,472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EAF9E8"/>
            </w:tcBorders>
            <w:shd w:val="clear" w:color="auto" w:fill="EAF9E8"/>
          </w:tcPr>
          <w:p>
            <w:pPr>
              <w:spacing w:after="0"/>
              <w:rPr>
                <w:sz w:val="23"/>
                <w:szCs w:val="23"/>
                <w:color w:val="auto"/>
              </w:rPr>
            </w:pPr>
          </w:p>
        </w:tc>
        <w:tc>
          <w:tcPr>
            <w:tcW w:w="3500" w:type="dxa"/>
            <w:vAlign w:val="bottom"/>
            <w:tcBorders>
              <w:bottom w:val="single" w:sz="8" w:color="EAF9E8"/>
            </w:tcBorders>
            <w:gridSpan w:val="2"/>
            <w:shd w:val="clear" w:color="auto" w:fill="EAF9E8"/>
          </w:tcPr>
          <w:p>
            <w:pPr>
              <w:ind w:left="460"/>
              <w:spacing w:after="0"/>
              <w:rPr>
                <w:sz w:val="20"/>
                <w:szCs w:val="20"/>
                <w:color w:val="auto"/>
              </w:rPr>
            </w:pPr>
            <w:r>
              <w:rPr>
                <w:rFonts w:ascii="Times New Roman" w:cs="Times New Roman" w:eastAsia="Times New Roman" w:hAnsi="Times New Roman"/>
                <w:sz w:val="18"/>
                <w:szCs w:val="18"/>
                <w:color w:val="auto"/>
              </w:rPr>
              <w:t>Other (1)</w:t>
            </w:r>
          </w:p>
        </w:tc>
        <w:tc>
          <w:tcPr>
            <w:tcW w:w="2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(393,939)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(391,723)</w:t>
            </w:r>
          </w:p>
        </w:tc>
        <w:tc>
          <w:tcPr>
            <w:tcW w:w="0" w:type="dxa"/>
            <w:vAlign w:val="bottom"/>
          </w:tcPr>
          <w:p>
            <w:pPr>
              <w:spacing w:after="0"/>
              <w:rPr>
                <w:sz w:val="1"/>
                <w:szCs w:val="1"/>
                <w:color w:val="auto"/>
              </w:rPr>
            </w:pPr>
          </w:p>
        </w:tc>
      </w:tr>
      <w:tr>
        <w:trPr>
          <w:trHeight w:val="27"/>
        </w:trPr>
        <w:tc>
          <w:tcPr>
            <w:tcW w:w="40" w:type="dxa"/>
            <w:vAlign w:val="bottom"/>
            <w:tcBorders>
              <w:bottom w:val="single" w:sz="8" w:color="EAF9E8"/>
            </w:tcBorders>
          </w:tcPr>
          <w:p>
            <w:pPr>
              <w:spacing w:after="0"/>
              <w:rPr>
                <w:sz w:val="2"/>
                <w:szCs w:val="2"/>
                <w:color w:val="auto"/>
              </w:rPr>
            </w:pPr>
          </w:p>
        </w:tc>
        <w:tc>
          <w:tcPr>
            <w:tcW w:w="3020" w:type="dxa"/>
            <w:vAlign w:val="bottom"/>
            <w:tcBorders>
              <w:bottom w:val="single" w:sz="8" w:color="EAF9E8"/>
            </w:tcBorders>
          </w:tcPr>
          <w:p>
            <w:pPr>
              <w:spacing w:after="0"/>
              <w:rPr>
                <w:sz w:val="2"/>
                <w:szCs w:val="2"/>
                <w:color w:val="auto"/>
              </w:rPr>
            </w:pPr>
          </w:p>
        </w:tc>
        <w:tc>
          <w:tcPr>
            <w:tcW w:w="48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EAF9E8"/>
          </w:tcPr>
          <w:p>
            <w:pPr>
              <w:spacing w:after="0"/>
              <w:rPr>
                <w:sz w:val="15"/>
                <w:szCs w:val="15"/>
                <w:color w:val="auto"/>
              </w:rPr>
            </w:pPr>
          </w:p>
        </w:tc>
        <w:tc>
          <w:tcPr>
            <w:tcW w:w="3020" w:type="dxa"/>
            <w:vAlign w:val="bottom"/>
            <w:shd w:val="clear" w:color="auto" w:fill="EAF9E8"/>
          </w:tcPr>
          <w:p>
            <w:pPr>
              <w:spacing w:after="0"/>
              <w:rPr>
                <w:sz w:val="15"/>
                <w:szCs w:val="15"/>
                <w:color w:val="auto"/>
              </w:rPr>
            </w:pPr>
          </w:p>
        </w:tc>
        <w:tc>
          <w:tcPr>
            <w:tcW w:w="480" w:type="dxa"/>
            <w:vAlign w:val="bottom"/>
            <w:shd w:val="clear" w:color="auto" w:fill="EAF9E8"/>
          </w:tcPr>
          <w:p>
            <w:pPr>
              <w:spacing w:after="0"/>
              <w:rPr>
                <w:sz w:val="15"/>
                <w:szCs w:val="15"/>
                <w:color w:val="auto"/>
              </w:rPr>
            </w:pPr>
          </w:p>
        </w:tc>
        <w:tc>
          <w:tcPr>
            <w:tcW w:w="260" w:type="dxa"/>
            <w:vAlign w:val="bottom"/>
            <w:shd w:val="clear" w:color="auto" w:fill="EAF9E8"/>
          </w:tcPr>
          <w:p>
            <w:pPr>
              <w:spacing w:after="0"/>
              <w:rPr>
                <w:sz w:val="15"/>
                <w:szCs w:val="15"/>
                <w:color w:val="auto"/>
              </w:rPr>
            </w:pPr>
          </w:p>
        </w:tc>
        <w:tc>
          <w:tcPr>
            <w:tcW w:w="1260" w:type="dxa"/>
            <w:vAlign w:val="bottom"/>
            <w:shd w:val="clear" w:color="auto" w:fill="EAF9E8"/>
          </w:tcPr>
          <w:p>
            <w:pPr>
              <w:spacing w:after="0"/>
              <w:rPr>
                <w:sz w:val="15"/>
                <w:szCs w:val="15"/>
                <w:color w:val="auto"/>
              </w:rPr>
            </w:pPr>
          </w:p>
        </w:tc>
        <w:tc>
          <w:tcPr>
            <w:tcW w:w="1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22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12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8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212,669</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76,614</w:t>
            </w:r>
          </w:p>
        </w:tc>
        <w:tc>
          <w:tcPr>
            <w:tcW w:w="0" w:type="dxa"/>
            <w:vAlign w:val="bottom"/>
          </w:tcPr>
          <w:p>
            <w:pPr>
              <w:spacing w:after="0"/>
              <w:rPr>
                <w:sz w:val="1"/>
                <w:szCs w:val="1"/>
                <w:color w:val="auto"/>
              </w:rPr>
            </w:pPr>
          </w:p>
        </w:tc>
      </w:tr>
      <w:tr>
        <w:trPr>
          <w:trHeight w:val="284"/>
        </w:trPr>
        <w:tc>
          <w:tcPr>
            <w:tcW w:w="40" w:type="dxa"/>
            <w:vAlign w:val="bottom"/>
            <w:tcBorders>
              <w:top w:val="single" w:sz="8" w:color="EAF9E8"/>
            </w:tcBorders>
            <w:shd w:val="clear" w:color="auto" w:fill="EAF9E8"/>
          </w:tcPr>
          <w:p>
            <w:pPr>
              <w:spacing w:after="0"/>
              <w:rPr>
                <w:sz w:val="24"/>
                <w:szCs w:val="24"/>
                <w:color w:val="auto"/>
              </w:rPr>
            </w:pPr>
          </w:p>
        </w:tc>
        <w:tc>
          <w:tcPr>
            <w:tcW w:w="3020" w:type="dxa"/>
            <w:vAlign w:val="bottom"/>
            <w:tcBorders>
              <w:top w:val="single" w:sz="8" w:color="EAF9E8"/>
            </w:tcBorders>
            <w:shd w:val="clear" w:color="auto" w:fill="EAF9E8"/>
          </w:tcPr>
          <w:p>
            <w:pPr>
              <w:spacing w:after="0"/>
              <w:rPr>
                <w:sz w:val="24"/>
                <w:szCs w:val="24"/>
                <w:color w:val="auto"/>
              </w:rPr>
            </w:pPr>
          </w:p>
        </w:tc>
        <w:tc>
          <w:tcPr>
            <w:tcW w:w="480" w:type="dxa"/>
            <w:vAlign w:val="bottom"/>
            <w:tcBorders>
              <w:top w:val="single" w:sz="8" w:color="EAF9E8"/>
            </w:tcBorders>
            <w:shd w:val="clear" w:color="auto" w:fill="EAF9E8"/>
          </w:tcPr>
          <w:p>
            <w:pPr>
              <w:spacing w:after="0"/>
              <w:rPr>
                <w:sz w:val="24"/>
                <w:szCs w:val="24"/>
                <w:color w:val="auto"/>
              </w:rPr>
            </w:pPr>
          </w:p>
        </w:tc>
        <w:tc>
          <w:tcPr>
            <w:tcW w:w="260" w:type="dxa"/>
            <w:vAlign w:val="bottom"/>
            <w:tcBorders>
              <w:top w:val="single" w:sz="8" w:color="auto"/>
            </w:tcBorders>
            <w:shd w:val="clear" w:color="auto" w:fill="EAF9E8"/>
          </w:tcPr>
          <w:p>
            <w:pPr>
              <w:spacing w:after="0"/>
              <w:rPr>
                <w:sz w:val="24"/>
                <w:szCs w:val="24"/>
                <w:color w:val="auto"/>
              </w:rPr>
            </w:pPr>
          </w:p>
        </w:tc>
        <w:tc>
          <w:tcPr>
            <w:tcW w:w="1260" w:type="dxa"/>
            <w:vAlign w:val="bottom"/>
            <w:tcBorders>
              <w:top w:val="single" w:sz="8" w:color="auto"/>
            </w:tcBorders>
            <w:shd w:val="clear" w:color="auto" w:fill="EAF9E8"/>
          </w:tcPr>
          <w:p>
            <w:pPr>
              <w:spacing w:after="0"/>
              <w:rPr>
                <w:sz w:val="24"/>
                <w:szCs w:val="24"/>
                <w:color w:val="auto"/>
              </w:rPr>
            </w:pPr>
          </w:p>
        </w:tc>
        <w:tc>
          <w:tcPr>
            <w:tcW w:w="12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22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40" w:type="dxa"/>
            <w:vAlign w:val="bottom"/>
            <w:tcBorders>
              <w:top w:val="single" w:sz="8" w:color="auto"/>
            </w:tcBorders>
            <w:shd w:val="clear" w:color="auto" w:fill="EAF9E8"/>
          </w:tcPr>
          <w:p>
            <w:pPr>
              <w:spacing w:after="0"/>
              <w:rPr>
                <w:sz w:val="24"/>
                <w:szCs w:val="24"/>
                <w:color w:val="auto"/>
              </w:rPr>
            </w:pPr>
          </w:p>
        </w:tc>
        <w:tc>
          <w:tcPr>
            <w:tcW w:w="124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8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Business</w:t>
            </w: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Segments</w:t>
            </w:r>
          </w:p>
        </w:tc>
      </w:tr>
      <w:tr>
        <w:trPr>
          <w:trHeight w:val="238"/>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8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7"/>
        </w:trPr>
        <w:tc>
          <w:tcPr>
            <w:tcW w:w="35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September 30, 2015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4,681,176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2,571,893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757,985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8,011,054</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2014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5,881,862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1,963,729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421,687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8,267,278</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54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September 30, 2014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6,059,359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1,706,964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589,317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8,355,640</w:t>
            </w:r>
          </w:p>
        </w:tc>
      </w:tr>
    </w:tbl>
    <w:p>
      <w:pPr>
        <w:spacing w:after="0" w:line="117" w:lineRule="exact"/>
        <w:rPr>
          <w:sz w:val="20"/>
          <w:szCs w:val="20"/>
          <w:color w:val="auto"/>
        </w:rPr>
      </w:pPr>
    </w:p>
    <w:p>
      <w:pPr>
        <w:ind w:left="500" w:right="8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billings for services rendered to other segments are recorded as revenues, as contra-expense or as other income, depending on the type of service that is rendered.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738" w:right="239" w:bottom="1440" w:gutter="0" w:footer="0" w:header="0"/>
        </w:sectPr>
      </w:pPr>
    </w:p>
    <w:bookmarkStart w:id="43" w:name="page44"/>
    <w:bookmarkEnd w:id="43"/>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are as follows: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Business</w:t>
            </w: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Segments</w:t>
            </w:r>
          </w:p>
        </w:tc>
      </w:tr>
      <w:tr>
        <w:trPr>
          <w:trHeight w:val="238"/>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Lending</w:t>
            </w:r>
          </w:p>
        </w:tc>
        <w:tc>
          <w:tcPr>
            <w:tcW w:w="2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7"/>
        </w:trPr>
        <w:tc>
          <w:tcPr>
            <w:tcW w:w="424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2015</w:t>
            </w:r>
          </w:p>
        </w:tc>
        <w:tc>
          <w:tcPr>
            <w:tcW w:w="24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12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spacing w:after="0"/>
              <w:rPr>
                <w:sz w:val="20"/>
                <w:szCs w:val="20"/>
                <w:color w:val="auto"/>
              </w:rPr>
            </w:pPr>
          </w:p>
        </w:tc>
      </w:tr>
      <w:tr>
        <w:trPr>
          <w:trHeight w:val="243"/>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5,046</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18,023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18,108</w:t>
            </w:r>
          </w:p>
        </w:tc>
      </w:tr>
      <w:tr>
        <w:trPr>
          <w:trHeight w:val="243"/>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3,325</w:t>
            </w:r>
          </w:p>
        </w:tc>
      </w:tr>
      <w:tr>
        <w:trPr>
          <w:trHeight w:val="297"/>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2014</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5,756</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60,689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60,783</w:t>
            </w:r>
          </w:p>
        </w:tc>
      </w:tr>
      <w:tr>
        <w:trPr>
          <w:trHeight w:val="243"/>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1,458</w:t>
            </w:r>
          </w:p>
        </w:tc>
      </w:tr>
      <w:tr>
        <w:trPr>
          <w:trHeight w:val="297"/>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2015</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13,467</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87,926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88,188</w:t>
            </w:r>
          </w:p>
        </w:tc>
      </w:tr>
      <w:tr>
        <w:trPr>
          <w:trHeight w:val="243"/>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1,022</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9,336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10,385</w:t>
            </w:r>
          </w:p>
        </w:tc>
      </w:tr>
      <w:tr>
        <w:trPr>
          <w:trHeight w:val="297"/>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2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2014</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r>
      <w:tr>
        <w:trPr>
          <w:trHeight w:val="243"/>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16,601</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EAF9E8"/>
            </w:tcBorders>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4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185,263</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186,075</w:t>
            </w:r>
          </w:p>
        </w:tc>
      </w:tr>
      <w:tr>
        <w:trPr>
          <w:trHeight w:val="243"/>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240" w:type="dxa"/>
            <w:vAlign w:val="bottom"/>
            <w:shd w:val="clear" w:color="auto" w:fill="EAF9E8"/>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shd w:val="clear" w:color="auto" w:fill="EAF9E8"/>
          </w:tcPr>
          <w:p>
            <w:pPr>
              <w:spacing w:after="0"/>
              <w:rPr>
                <w:sz w:val="21"/>
                <w:szCs w:val="21"/>
                <w:color w:val="auto"/>
              </w:rPr>
            </w:pPr>
          </w:p>
        </w:tc>
        <w:tc>
          <w:tcPr>
            <w:tcW w:w="120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AF9E8"/>
          </w:tcPr>
          <w:p>
            <w:pPr>
              <w:spacing w:after="0"/>
              <w:rPr>
                <w:sz w:val="21"/>
                <w:szCs w:val="21"/>
                <w:color w:val="auto"/>
              </w:rPr>
            </w:pPr>
          </w:p>
        </w:tc>
        <w:tc>
          <w:tcPr>
            <w:tcW w:w="12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8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3,754</w:t>
            </w:r>
          </w:p>
        </w:tc>
      </w:tr>
      <w:tr>
        <w:trPr>
          <w:trHeight w:val="27"/>
        </w:trPr>
        <w:tc>
          <w:tcPr>
            <w:tcW w:w="424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12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2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Ocwen’s former Executive Chairman, William C. Erbey, also formerly served as chairman of the boards of Altisource Portfolio Solutions, S.A. (Altisource), HLSS, Altisource Residential Corporation (Residential) and Altisource Asset Management Corporation (AAMC). As a result, he had obligations to Ocwen as well as to Altisource, HLSS, Residential and AAMC. Effective January 16, 2015, Mr. Erbey resigned as an officer and director of Ocwen. Effective on that same date, Mr. Erbey also resigned from the boards of Altisource, HLSS, Altisource Residential and AAMC. Following his resignation, effective as of January 16, 2015, Mr. Erbey has no directorial, management, oversight, consulting or any other role at Ocwen, and we are expressly prohibited from providing any non-public information about Ocwen to Mr. Erbey pursuant to our settlement with the NY DFS. As a result of these and other relevant facts and circumstances, we believe that from and after January 17, 2015 Mr. Erbey does not possess the power, direct or indirect, to direct or cause the direction of our management and policies and, accordingly, we do not consider Altisource, HLSS, Residential or AAMC to be related parties. Revenues and expenses related to these agreements for the period from January 1 to January 16, 2015 are not significant and have not been disclosed. Absent a change in circumstances, we do not expect that we will consider any of these entities to be related parties in future periods.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688" w:right="239" w:bottom="1440" w:gutter="0" w:footer="0" w:header="0"/>
        </w:sectPr>
      </w:pPr>
    </w:p>
    <w:bookmarkStart w:id="44" w:name="page45"/>
    <w:bookmarkEnd w:id="44"/>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revenues and expenses related to our agreements with Altisource, HLSS (prior to the sale of its assets to NRZ), AAMC and Residential (and, as applicable, their subsidiaries) for the 2014 periods presented and the amounts receivable or payable at December 31, 2014. See Note 19 — Commitments for additional discussion of our long-term agreements with Altisource and Residential. See Note 4 — Sales of Advances and MSRs, Note 5 – Loans Held for Sale, Note 8 – Mortgage Servicing and Note 11 – Borrowings for additional discussion of the HLSS and EBO transactions.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For the Nine</w:t>
            </w:r>
          </w:p>
        </w:tc>
      </w:tr>
      <w:tr>
        <w:trPr>
          <w:trHeight w:val="216"/>
        </w:trPr>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4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r>
      <w:tr>
        <w:trPr>
          <w:trHeight w:val="216"/>
        </w:trPr>
        <w:tc>
          <w:tcPr>
            <w:tcW w:w="8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Revenues and Expenses:</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Altisource agreements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10,716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30,007</w:t>
            </w:r>
          </w:p>
        </w:tc>
      </w:tr>
      <w:tr>
        <w:trPr>
          <w:trHeight w:val="243"/>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70,577</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b w:val="1"/>
                <w:bCs w:val="1"/>
                <w:color w:val="auto"/>
              </w:rPr>
              <w:t>HLSS support services agreement</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1,590</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AAMC support services and facilities agreements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952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Residential servicing agreement</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50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12,141</w:t>
            </w:r>
          </w:p>
        </w:tc>
      </w:tr>
      <w:tr>
        <w:trPr>
          <w:trHeight w:val="464"/>
        </w:trPr>
        <w:tc>
          <w:tcPr>
            <w:tcW w:w="8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Receivable (Payable)</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7"/>
        </w:trPr>
        <w:tc>
          <w:tcPr>
            <w:tcW w:w="83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Altisource</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HLSS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7,884</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AAMC</w:t>
            </w:r>
          </w:p>
        </w:tc>
        <w:tc>
          <w:tcPr>
            <w:tcW w:w="1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83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3,307</w:t>
            </w:r>
          </w:p>
        </w:tc>
      </w:tr>
      <w:tr>
        <w:trPr>
          <w:trHeight w:val="20"/>
        </w:trPr>
        <w:tc>
          <w:tcPr>
            <w:tcW w:w="83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3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Regulatory Requirements</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regulation by federal, state and local governmental authorities, including the CFPB, HUD, SEC and various state agencies that license, audit and conduct examinations of our mortgage servicing, origination and collection activities. In addition, we operate under a number of regulatory settlements that subject us to ongoing monitoring or reporting. From time to time, we also receive requests from federal, state and local agencies for records, documents and information relating to the policies, procedures and practices of our mortgage servicing, origination and collection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current regulatory environment, we have faced and expect to continue to face increased regulatory and public scrutiny as well as stricter and more comprehensive regulation of our business. We continue to work diligently to assess and understand the implications of the regulatory environment in which we operate and to meet the requirements of the changing environment in which we operate.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any of the following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or (vii) inability to execute on our business strategy.</w:t>
      </w:r>
    </w:p>
    <w:p>
      <w:pPr>
        <w:spacing w:after="0" w:line="77"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7"/>
          <w:szCs w:val="17"/>
          <w:color w:val="auto"/>
        </w:rPr>
        <w:t>We must comply with a large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the Equal Credit Opportunity Act, the Dodd-Frank Wall Street Reform and Consumer Protection Act and state foreclosure laws. These statutes apply to many facets of our business, including loan origination,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688" w:right="239" w:bottom="1440" w:gutter="0" w:footer="0" w:header="0"/>
        </w:sectPr>
      </w:pPr>
    </w:p>
    <w:bookmarkStart w:id="45" w:name="page46"/>
    <w:bookmarkEnd w:id="45"/>
    <w:p>
      <w:pPr>
        <w:ind w:right="40"/>
        <w:spacing w:after="0" w:line="258" w:lineRule="auto"/>
        <w:rPr>
          <w:sz w:val="20"/>
          <w:szCs w:val="20"/>
          <w:color w:val="auto"/>
        </w:rPr>
      </w:pPr>
      <w:r>
        <w:rPr>
          <w:rFonts w:ascii="Times New Roman" w:cs="Times New Roman" w:eastAsia="Times New Roman" w:hAnsi="Times New Roman"/>
          <w:sz w:val="18"/>
          <w:szCs w:val="18"/>
          <w:color w:val="auto"/>
        </w:rPr>
        <w:t>default servicing and collections,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amended, interpreted and enforced. The recent trend among federal, state and local lawmakers and regulators has been toward increasing laws, regulations and investigative proceedings with regard to residential real estate lenders and servicers.</w:t>
      </w:r>
    </w:p>
    <w:p>
      <w:pPr>
        <w:spacing w:after="0" w:line="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CFPB directly affects the regulation of residential mortgage servicing in a number of ways. First, the CFPB has rule making authority with respect to many of the federal consumer protection laws applicable to mortgage servicers, including TILA and RESPA, as reflected in the new rules for servicing and origination that went into effect in 2014. Second, the CFPB has supervision, examination and enforcement authority over consumer financial products and services offered by certain non-depository institutions and large insured depository institutions. The CFPB’s jurisdiction includes those persons originating, brokering or servicing residential mortgage loans and those persons performing loan modification or foreclosure relief services in connection with such loans. Accordingly, we are subject to supervision, examination and enforcement by the CFPB.</w:t>
      </w:r>
    </w:p>
    <w:p>
      <w:pPr>
        <w:spacing w:after="0" w:line="188"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We expect to continue to invest significantly in our operational platform and risk and compliance management systems in order to comply with these laws and regulations. Furthermore, there may be additional federal or state laws enacted that place additional obligations on servicers and originators of residential mortgage loans.</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OLS, Homeward and Liberty subsidiaries are licensed to originate and/or service forward and reverse mortgage loans in the jurisdictions in which they operate. Our licensed entities are required to renew their licenses, typically on an annual basis, and to do so they must satisfy the license renewal requirements of each jurisdiction, which in some cases include the requirement to provide audited financial statements as well as other financial and non-financial requirements. Our licensed entities are also subject to minimum net worth requirements in connection with these licenses. These minimum net worth requirements are unique to each state and type of license. Failure to meet these minimum capital requirements or to satisfy any of the other requirements to which our licensed subsidiaries are subject could result in a variety of regulatory actions ranging from a fine, a directive requiring a certain step to be taken, a suspension or ultimately a revocation of a license, any of which could have an adverse impact on our results of operations and financial condition. The most restrictive of these requirements is based on the outstanding UPB of our owned and subserviced portfolio and was $553.7 million at September 30, 2015. We believe our licensed subsidiaries are currently in compliance with all of their capital requirements.</w:t>
      </w:r>
    </w:p>
    <w:p>
      <w:pPr>
        <w:spacing w:after="0" w:line="8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OLS, Homeward and Liberty are also parties to seller/servicer agreements and/or subject to guidelines and regulations (collectively, seller/servicer obligations) with one or more of the GSEs, HUD, FHA, VA and Ginnie Mae. 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deposit funds as security for our obligations, sanctions, suspension or even termination of approved seller/servicer status, which would prohibit future originations or securitizations of forward or reverse mortgage loans or servicing for the applicable agency. To date, none of these counterparties has communicated any material sanction, suspension or prohibition in connection with our seller/servicer obligations. We believe we were in compliance with the related net worth requirements at September 30, 2015. Our non-Agency servicing agreements also contain requirements regarding servicing practices and other matters, and a failure to comply with these requirements could have an adverse impact on our business.</w:t>
      </w:r>
    </w:p>
    <w:p>
      <w:pPr>
        <w:spacing w:after="0" w:line="7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Transfers of mortgage servicing are subject to regulation under federal consumer finance laws, including CFPB rules implementing RESPA that require servicers to, among other things, maintain policies and procedures that are reasonably designed to facilitate the transfer of accurate information and documents during mortgage servicing transfers and properly evaluate loss mitigation applications that are in process at the time of transfer. The CFPB has advised mortgage servicers that its examiners will be carefully reviewing servicers’ compliance with these and other regulations applicable to servicing transfers, and state mortgage regulators have supervisory power over any licensed institutions involved in a transaction. Accordingly, we will be required to devote time and resources to ensuring compliance and engaging with such regulators in connection with any future transfers of mortgage servicing, including in connection with our announced asset sales.</w:t>
      </w:r>
    </w:p>
    <w:p>
      <w:pPr>
        <w:spacing w:after="0" w:line="189"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There are a number of foreign laws and regulations that are applicable to our operations in India and the Philippines, including acts that govern licensing, employment, safety, taxes, insurance and the laws and regulations that govern the creation, continuation and the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counties, (ii) fines, penalties or sanctions or (iii) reputational damage.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688"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Note 19 —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Unfunded Lending Commitments</w:t>
      </w:r>
    </w:p>
    <w:p>
      <w:pPr>
        <w:spacing w:after="0" w:line="1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have originated floating-rate reverse mortgage loans under which the borrowers have additional borrowing capacity of $861.2 million at September 30, 2015. This additional borrowing capacity is available on a scheduled or unscheduled payment basis. We also had short-term commitments to lend $373.0 million and $12.1 million in connection with our forward and reverse interest rate lock commitments outstanding at September 30, 2015.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Contracts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business is currently dependent on many of the services and products provided by Altisource under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w:t>
      </w:r>
    </w:p>
    <w:p>
      <w:pPr>
        <w:spacing w:after="0" w:line="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provides certain loan origination services to Homeward and Liberty, and a general referral fee agreement pursuant to which Ocwen receives referral fees which are paid out of the commission that would otherwise be paid to Altisource as the selling broker in connection with real estate sales services provided by Altisource. A Data Access and Services Agreement under which we agreed to make available to Altisource certain data from Ocwen’s servicing portfolio in exchange for a per asset fee was terminated on March 31, 2015. Amounts incurred or received in connection with the above agreements for periods prior to January 1, 2015 are disclosed in Note 17 – Related Party Transactions.</w:t>
      </w:r>
    </w:p>
    <w:p>
      <w:pPr>
        <w:spacing w:after="0" w:line="78"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also entered into Support Services Agreements with Altisource setting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Beginning April 1, 2015, the only services that are regularly provided under these Support Services Agreements are corporate services such as facilities management and mailroom support services and vendor procurement for information technology and facilities.</w:t>
      </w:r>
    </w:p>
    <w:p>
      <w:pPr>
        <w:spacing w:after="0" w:line="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On December 21, 2012, we entered into a 15-year servicing agreement with Altisource Residential, L.P., the operating partnership of Residential, pursuant to which Ocwen will service residential mortgage loans acquired by Residential and provide loan modification, assisted deed-in-lieu, assisted deed-for-lease and other loss mitigation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Contingencies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792"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routinely a defendant in, or a party or potential party to, many threatened and pending legal proceedings, including proceedings brought on behalf of various classes of claimants and those brought derivatively on behalf of Ocwen against certain current or former officers and directors.</w:t>
      </w:r>
    </w:p>
    <w:p>
      <w:pPr>
        <w:spacing w:after="0" w:line="6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These proceedings are generally based on alleged violations of federal, state and local laws and regulations governing our mortgage servicing and lending activities, including wrongful foreclosure and eviction actions, allegations of wrongdoing in connection with lender-placed insurance arrangements, claims relating to our pre-foreclosure property preservation activities, claims relating to our written and telephonic communications with our borrowers and claims related to our payment and other processing operations. In some of these proceedings, claims for substantial monetary damages are asserted against us. To address the claims in the small number of proceedings brought derivatively by purported shareholders, the independent directors of the Board have established a Special Litigation Committee to investigate the shareholders’ allegations. In our opinion, the resolution of the vast majority of these proceedings will not have a material effect on our financial condition, results of operations or cash flows.</w:t>
      </w:r>
    </w:p>
    <w:p>
      <w:pPr>
        <w:spacing w:after="0" w:line="8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7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Where we determine that a loss contingency is probable in connection with a pending or threatened legal proceeding and the amount of our losses can be reasonably estimated, we record an accrual for the losses. Excluding expenses of internal or external legal counsel, we have accrued $16.7 million as of September 30, 2015 for losses relating to threatened and pending litigation pertaining to our mortgage servicing practices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pertaining to our mortgage servicing practices that materially exceed the amount accrued. We cannot currently estimate the amount, if any, of reasonably possible losses above amounts that have been recorded at September 30, 2015.</w:t>
      </w:r>
    </w:p>
    <w:p>
      <w:pPr>
        <w:spacing w:after="0" w:line="81"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Following our announcement on August 12, 2014 that we intended to restate our financial statements for the fiscal year ended December 31, 2013 and the quarter ended March 31, 2014, and amend our Annual Report on Form 10-K for the fiscal year ended December 31, 2013 and our Quarterly Report on Form 10-Q for the quarter ended March 31, 2014, putative securities fraud class action lawsuits have been filed against Ocwen and certain of its officers and directors regarding such restatements and amendments. Those lawsuits have been consolidated and are pending in federal court in Florida. After Ocwen signed a Consent Order with the NYDFS on December 22, 2014, the consolidated class action complaint was amended to include allegations relating to that Consent Order and other matters. In January 2015, Ocwen was named as a defendant in a separate consolidated securities fraud class action that has been brought on behalf of a putative class of Altisource shareholders. On September 4, 2015, the presiding federal court dismissed both the above-referenced consolidated class action and the above-referenced consolidated securities fraud class action. Both of those actions have since been re-filed in federal court. Additional lawsuits may be filed and, at this time, Ocwen is unable to predict the outcome of these lawsuits, the possible loss or range of loss, if any, associated with the resolution of these lawsuits or any potential impact they may have on us or our operations. Ocwen and the other defendants intend to vigorously defend against these lawsuits. If our efforts to defend these lawsuits are not successful, our business, financial condition and results of operations could be adversely affected.</w:t>
      </w:r>
    </w:p>
    <w:p>
      <w:pPr>
        <w:spacing w:after="0" w:line="8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very small number of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8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Ocwen is a third-party defendant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allegations that we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684" w:right="239" w:bottom="1440" w:gutter="0" w:footer="0" w:header="0"/>
        </w:sectPr>
      </w:pPr>
    </w:p>
    <w:bookmarkStart w:id="48" w:name="page49"/>
    <w:bookmarkEnd w:id="48"/>
    <w:p>
      <w:pPr>
        <w:ind w:right="40"/>
        <w:spacing w:after="0" w:line="258" w:lineRule="auto"/>
        <w:rPr>
          <w:sz w:val="20"/>
          <w:szCs w:val="20"/>
          <w:color w:val="auto"/>
        </w:rPr>
      </w:pPr>
      <w:r>
        <w:rPr>
          <w:rFonts w:ascii="Times New Roman" w:cs="Times New Roman" w:eastAsia="Times New Roman" w:hAnsi="Times New Roman"/>
          <w:sz w:val="18"/>
          <w:szCs w:val="18"/>
          <w:color w:val="auto"/>
        </w:rPr>
        <w:t>failed to service loans in accordance with applicable agreements and that such failures prejudiced the rights of repurchase claimants against loan sellers or otherwise diminished the value of the trust collateral. We believe that any such allegations would be without merit and, if necessary, would vigorously defend against them.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financial condition and results of operations could be adversely affected.</w:t>
      </w:r>
    </w:p>
    <w:p>
      <w:pPr>
        <w:spacing w:after="0" w:line="18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a number of RMBS trustees have received notices of default alleging material failures by servicers to comply with applicable servicing agreements. For example, certain investors claiming to hold at least 25% ownership interest in 119 RMBS trusts serviced by Ocwen have submitted to the respective trustees of those trusts a Notice of Non-Performance, alleging that we have materially breached our obligations under the servicing agreements in those trusts. The Notice further alleged that our conduct, if not timely cured, would give rise to events of default under the applicable servicing agreements, on the basis of which we could potentially be terminated as servicer for the 119 Trusts. Ocwen denies the allegations in the Notice and intends to vigorously rebut them. Since the Notice was issued, Ocwen has been directed by the trustee for two of the trusts to transfer its servicing to another loan servicing company based on ratings downgrades. There is a risk that Ocwen could be replaced as servicer on the remaining trusts at issue in the Notice, that the trustees could take legal action on behalf of the trust certificateholders, or, under certain circumstances, that the investors who issued the Notice could seek to press their allegations against Ocwen, independent of the trustees. We are unable at this time to predict what, if any, actions the trustees will take in response to the Notice, nor can we predict at this time the potential loss or range of loss, if any, associated with the resolution of the Notice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subject to a number of ongoing federal and state regulatory examinations, inquiries, requests for information and other actions.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York Department of Financial Services</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2012, we entered into a consent order with the New York Department of Financial Services (NY DFS) in which we agreed to the appointment of a Monitor to oversee our compliance with an Agreement on Servicing Practices that we had entered into with the NY DFS in September 2011. After the Monitor began its work in 2013, the NY DFS began an investigation into Ocwen’s compliance with the servicing requirements specified in the Agreement on Servicing Practices as well as New York State laws and regulations relating to the servicing of residential mortgages.</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Effective December 19, 2014, Ocwen reached a settlement with the NY DFS related to this investigation and entered into a consent order (the NY Consent Order) with the NY DFS to reflect such settlement. The settlement included monetary and non-monetary provisions including the payment of a civil monetary penalty of $100.0 million and restitution in the amount of $50.0 million to certain New York borrowers. Non-monetary provisions include: the appointment of an independent Operations Monitor who will among other responsibilities, review and assess the adequacy and effectiveness of our operations, including providing periodic reporting on findings and progress, and review transactions with Altisource, HLSS, AAMC and Residential; the appointment of two additional independent directors to the Board of Directors; the resignation of William C. Erbey as an officer and director, as of January 16, 2015, as well as from the boards of Altisource, HLSS, AAMC and Residential; and restrictions on the ability and/or timing of any future MSR acquisitions which effectively prohibit any such future acquisitions until we have satisfied certain specified conditions.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Mortgage Settlement</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February 2014, the Ocwen National Mortgage Settlement involving the CFPB and various state attorneys general and other state agencies that regulate the mortgage servicing industry (NMS Regulators), relating to various allegations regarding deficient mortgage servicing practices, including those with respect to foreclosures, was memorialized by a consent order entered by the United States District Court for the District of Columbia.</w:t>
      </w:r>
    </w:p>
    <w:p>
      <w:pPr>
        <w:spacing w:after="0" w:line="6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tested on a quarterly basis on various metrics to ensure compliance with the Ocwen National Mortgage Settlement. These metrics relate to various aspects of our servicing business, and each has a proscribed error threshold. These metrics are tested by a dedicated group of Ocwen employees who do not report to the servicing business and are referred to as the Internal Review Group (IRG). The IRG tests these metrics, and reports their findings to the professional firms employed by the Office of Mortgage Settlement Oversight (OMSO). OMSO has ultimate authority to accept or reject the IRG’s findings, and OMSO reports its findings to the District Court.</w:t>
      </w:r>
    </w:p>
    <w:p>
      <w:pPr>
        <w:spacing w:after="0" w:line="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Exceeding the metric error rate threshold for the first time does not result in a violation of the settlement, but rather it is deemed a “potential violation” which then is subject to a cure period. Any potential violation requires us to submit a corrective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688" w:right="259" w:bottom="1440" w:gutter="0" w:footer="0" w:header="0"/>
        </w:sectPr>
      </w:pPr>
    </w:p>
    <w:bookmarkStart w:id="49" w:name="page50"/>
    <w:bookmarkEnd w:id="49"/>
    <w:p>
      <w:pPr>
        <w:ind w:right="20"/>
        <w:spacing w:after="0" w:line="256" w:lineRule="auto"/>
        <w:rPr>
          <w:sz w:val="20"/>
          <w:szCs w:val="20"/>
          <w:color w:val="auto"/>
        </w:rPr>
      </w:pPr>
      <w:r>
        <w:rPr>
          <w:rFonts w:ascii="Times New Roman" w:cs="Times New Roman" w:eastAsia="Times New Roman" w:hAnsi="Times New Roman"/>
          <w:sz w:val="18"/>
          <w:szCs w:val="18"/>
          <w:color w:val="auto"/>
        </w:rPr>
        <w:t>action plan (CAP) to OMSO for approval and review, and all testing for that metric is suspended until the CAP is completed. Following the completion of the CAP, testing on that metric resumes by the IRG and any further fails in the cure period or the quarter following that cure period would subject us to financial penalties. These penalties start at an amount of not more than $1.0 million for the first uncured violation and increase to an amount of not more than $5.0 million for the second uncured violation. It is also possible that if we are found to have caused borrower harm, we would be subject to costs to remediate that harm. In addition, in the event that there were widespread metric failures, it is possible that OMSO and/or the District Court could determine that we were generally violating the settlement and seek to impose a broader range of financial or injunctive penalties on us.</w:t>
      </w:r>
    </w:p>
    <w:p>
      <w:pPr>
        <w:spacing w:after="0" w:line="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December 2014, OMSO identified two issues involving Ocwen’s compliance with the Ocwen National Mortgage Settlement. The first concerned the adequacy and independence of our IRG, which is responsible for reporting on Ocwen’s compliance with the settlement. The second issue concerned the letter dating issues raised by the NY DFS. OMSO’s report identified the steps that Ocwen had taken to remediate these issues and acknowledged Ocwen’s cooperation. OMSO’s December report indicated its plans to re-test certain metrics, and to issue supplemental reports upon completion of that work.</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May 2015, OMSO issued another compliance report following up on that of December 2014. This report detailed additional changes that Ocwen had made to its IRG and described the work performed by OMSO to retest certain metrics previously tested by the Ocwen IRG for the first quarter of 2014. OMSO’s report indicated that the various steps taken by Ocwen in connection with its IRG demonstrated “measurable improvement” since the December 2014 report. OMSO further reported that its retesting of metrics for the first quarter of 2014 revealed that it only disagreed with the Ocwen IRG’s assessment for one out of the nine metrics subject to retesting. This metric relates to the </w:t>
      </w:r>
      <w:r>
        <w:rPr>
          <w:rFonts w:ascii="Arial" w:cs="Arial" w:eastAsia="Arial" w:hAnsi="Arial"/>
          <w:sz w:val="18"/>
          <w:szCs w:val="18"/>
          <w:color w:val="auto"/>
        </w:rPr>
        <w:t>t</w:t>
      </w:r>
      <w:r>
        <w:rPr>
          <w:rFonts w:ascii="Times New Roman" w:cs="Times New Roman" w:eastAsia="Times New Roman" w:hAnsi="Times New Roman"/>
          <w:sz w:val="18"/>
          <w:szCs w:val="18"/>
          <w:color w:val="auto"/>
        </w:rPr>
        <w:t>imeliness of letters informing borrowers of missing items in their loss mitigation packages. Because Ocwen’s own IRG had self-identified this issue before the re-testing, Ocwen had already implemented a corrective action plan to send out new correspondence and place certain loans on a foreclosure hold until such borrowers were given time to complete their applications. OMSO approved that CAP on May 27, 2015. OMSO’s latest report, issued on October 22, 2015, provided an update on that CAP and indicated that Ocwen’s implementation of the plan continued under OMSO’s supervision.</w:t>
      </w:r>
    </w:p>
    <w:p>
      <w:pPr>
        <w:spacing w:after="0" w:line="80"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continue to work cooperatively with OMSO on resolving these issues, and the letter dating issues are currently under a CAP. While, to date, these issues have not resulted in financial penalties, if we do not comply with the Ocwen National Mortgage Settlement, we could become subject to financial penalties or other regulatory action could be taken against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April 28, 2014, we received a letter from the staff of the New York Regional Office of the SEC (the Staff) informing us that it was conducting an investigation relating to Ocwen and making a request for voluntary production of documents and information relating to the April 22, 2014 surrender of certain options to purchase our common stock by Mr. Erbey, our former Executive Chairman, including the 2007 Equity Incentive Plan and the related option grant and surrender documents. On June 12, 2014, we received a subpoena from the SEC requesting production of various documents relating to our business dealings with Altisource, HLSS, AAMC and Residential and the interests of our directors and executive officers in these companies. Following the announcement on August 12, 2014 that we intended to amend our Annual Report on Form 10-K for the fiscal year ended December 31, 2013 and our Quarterly Report on Form 10-Q for the quarter ended March 31, 2014, we received an additional subpoena on September 11, 2014 in relation to such amendments. In addition, we received a further subpoena on November 20, 2014 requesting certain documents related to Ocwen’s agreement with Southwest Business Corporation, and related to Mr. Erbey’s approvals for specifically enumerated board actions. We have cooperated with the SEC in its investigation and believe that the investigation is substantially completed.</w:t>
      </w:r>
    </w:p>
    <w:p>
      <w:pPr>
        <w:spacing w:after="0" w:line="7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and the Staff have reached an agreement in principle to resolve the SEC investigation. Subject to documentation of a definitive settlement and final approval by the Commission of the SEC, the terms of the proposed resolution include that we, without admitting or denying liability, will pay a $2.0 million civil money penalty and consent to the entry of an administrative order requiring that we cease and desist from any violations of Sections 13(a), 13(b)(2)(A), and 13(b)(2)(B) of the Exchange Act and certain related SEC rules promulgated thereunder. Accordingly, we have accrued $2.0 million as of September 30, 2015 with respect to the proposed resolution as we believe this loss is probable and reasonably estimable based on current information. There can be no assurance that the proposed resolution will be finalized and approved by the Commission on the terms currently contemplated. In the event the proposed resolution is not so finalized and approved, we intend to vigorously defend ourselves.</w:t>
      </w:r>
    </w:p>
    <w:p>
      <w:pPr>
        <w:spacing w:after="0" w:line="8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Separately, on February 10, 2015, we received a letter from the Staff informing us that it was conducting an investigation relating to the use of collection agents by mortgage loan servicers. The letter requested that we voluntarily produce documents and information. We believe that the February 10, 2015 letter was also sent to other companies in the industry. We are cooperating with the Staff on this matter.</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688" w:right="2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California Department of Business Oversight</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Effective January 23, 2015, OLS reached an agreement with the California Department of Business Oversight (CA DBO) relating to Ocwen’s failure to produce certain information and documents during a routine licensing examination, which resulted in the CA DBO withdrawing its notice of hearing to suspend OLS’ license in California. OLS and the CA DBO entered into a Consent Order pursuant to the California Residential Mortgage Lending Act (the CA Consent Order) with the CA DBO to reflect such settlement. The CA Consent Order addresses and resolves the examination disputes between the CA DBO and OLS, and does not involve any accusation or admission of wrongdoing with regard to OLS’ servicing practices.</w:t>
      </w:r>
    </w:p>
    <w:p>
      <w:pPr>
        <w:spacing w:after="0" w:line="7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CA Consent Order, OLS paid the CA DBO a penalty of $2.5 million plus costs associated with the examination. We accrued the $2.5 million penalty as of December 31, 2014. OLS also agreed to cease acquiring any additional MSRs for loans secured in California until the CA DBO is satisfied that OLS can satisfactorily respond to the requests for information and documentation made in the course of a regulatory exam.</w:t>
      </w:r>
    </w:p>
    <w:p>
      <w:pPr>
        <w:spacing w:after="0" w:line="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CA DBO has selected an independent third-party auditor (the CA Auditor) to assess OLS’ compliance with laws and regulations impacting California borrowers for an initial term of two years, extendable at the discretion of the CA DBO. OLS will pay all reasonable and necessary costs of the CA Auditor. The CA Auditor will report periodically on its findings and progress and OLS will submit to the CA DBO a written plan to address and implement corrective measures and address any deficiencies identified by the CA Auditor.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above matters, our mortgage origination and servicing businesses require one or more licenses in the various jurisdictions where properties secured by mortgages are located. Our licensed entities are required to renew their licenses, typically on an annual basis, and to do so they must satisfy the license renewal requirements of each jurisdiction, which in some cases include the requirement to provide audited financial statements. The same agencies that issue licenses to us engage in regular supervisory examinations of the licensable activities. In addition, we are subject to supervision by the CFPB at the federal level, and it similarly has the authority to conduct regulatory examinations, in addition to its enforcement and investigatory powers. These examinations are part of our ordinary course business activities, and the mere existence of an examination is not typically indicative of anything unusual or material as to that business. In addition, we also receive information requests and other inquiries, both formal and informal in nature, from these agencies as part of their general regulatory oversight of our origination and servicing businesses.</w:t>
      </w:r>
    </w:p>
    <w:p>
      <w:pPr>
        <w:spacing w:after="0" w:line="7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also have regular engagements with not only our state financial regulators, but also the attorneys general in the various states and the CFPB to address individual borrower complaints that they bring to our attention, or to respond to information requests and other inquiries. Many of these matters are brought to our attention as a complaint that the entity is investigating, although some are formal investigations or proceedings.</w:t>
      </w:r>
    </w:p>
    <w:p>
      <w:pPr>
        <w:spacing w:after="0" w:line="68"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To the extent that an examination or other regulatory engagement reveals a failure by us to comply with applicable law, regulation or licensing requirement, or if we fail to comply with the commitments we have made with respect to the foregoing regulatory actions or if other regulatory actions of a similar or different nature are taken in the future against us, this could lead to (i) loss of our licenses and approvals to engage in our servicing and lending businesses, (ii) governmental investigations and enforcement actions, (iii) administrative fines and penalties and litigation, (iv) civil and criminal liability, including class action lawsuits, (v) breaches of covenants and representations under our servicing, debt or other agreements, (vi) inability to raise capital and</w:t>
      </w:r>
    </w:p>
    <w:p>
      <w:pPr>
        <w:spacing w:after="0" w:line="3" w:lineRule="exact"/>
        <w:rPr>
          <w:sz w:val="20"/>
          <w:szCs w:val="20"/>
          <w:color w:val="auto"/>
        </w:rPr>
      </w:pPr>
    </w:p>
    <w:p>
      <w:pPr>
        <w:ind w:right="400" w:firstLine="8"/>
        <w:spacing w:after="0" w:line="261" w:lineRule="auto"/>
        <w:tabs>
          <w:tab w:leader="none" w:pos="3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execute on our business strategy. Any of these occurrences could increase our operating expenses and reduce our revenues, hamper our ability to grow or otherwise materially and adversely affect our business, reputation,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Put-Back and Related Contingencies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exposure to origination representation, warranty and indemnification obligations because of our lending, sales and securitization activities and our acquisitions to the extent we assume one or more of these obligations and in connection with our servicing practices. At September 30, 2015, we had outstanding representation and warranty repurchase demands of $101.1 million UPB (516 loans). At September 30, 2014, the outstanding UPB of representation and warranty repurchase demands was $108.2 million (578 loans). We review each demand and monitor through resolution, primarily through rescission, loan repurchase or make-whole payment.</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20"/>
          </w:cols>
          <w:pgMar w:left="240" w:top="684" w:right="339" w:bottom="1440" w:gutter="0" w:footer="0" w:header="0"/>
        </w:sectPr>
      </w:pPr>
    </w:p>
    <w:bookmarkStart w:id="51" w:name="page52"/>
    <w:bookmarkEnd w:id="51"/>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our liability for representation and warranty obligations, compensatory fees for foreclosures that may ultimately exceed investor timelines and related indemnification obligations for the nine months ended September 30: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132,918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192,716</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representation and warranty obligations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New production reserves</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Charge-offs and other (1)</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(54,776)</w:t>
            </w:r>
          </w:p>
        </w:tc>
      </w:tr>
      <w:tr>
        <w:trPr>
          <w:trHeight w:val="27"/>
        </w:trPr>
        <w:tc>
          <w:tcPr>
            <w:tcW w:w="834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86,873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143,836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260" w:hanging="492"/>
        <w:spacing w:after="0" w:line="28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principal and interest losses realized in connection with repurchased loans, make-whole, indemnification and fee payments and settlements net of recoveries, if any.</w:t>
      </w:r>
    </w:p>
    <w:p>
      <w:pPr>
        <w:spacing w:after="0" w:line="5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September 30, 2015</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Subsequent Events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October 16, 2015, OLS, as borrower, Ocwen and certain subsidiaries of Ocwen, as guarantors, entered into Amendment No. 4 to the Senior Secured Term Loan Facility Agreement and Amendment No. 2 to the Pledge and Security Agreement (the “Amendment”) with the lenders party thereto and Barclays Bank PLC, as administrative agent and collateral agent, pursuant to which certain amendments were made to (i) the SSTL and (ii) the related Pledge and Security Agreement. Effective as of October 20, 2015, the Amendment, among other things:</w:t>
      </w:r>
    </w:p>
    <w:p>
      <w:pPr>
        <w:spacing w:after="0" w:line="18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removes, until the fiscal quarter ending June 30, 2017, the interest coverage ratio and corporate leverage ratio financial covenants;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 process for designating foreign subsidiaries as subsidiary guarantors under the SSTL;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our capacity to make certain permitted investments under the investment covenant;</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our ability to exclude certain assets from the collateral securing the SSTL, to the extent necessary to meet regulatory minimum net worth requirements;</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applicable interest rate margin by 0.50%;</w:t>
      </w:r>
    </w:p>
    <w:p>
      <w:pPr>
        <w:spacing w:after="0" w:line="9"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use 100% of the net cash proceeds from future asset sales permitted under the general asset sale basket to prepay the loans under the SSTL;</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a fee, payable to the lenders on March 31, 2017, equal to 3.0% of the aggregate amount of SSTL loans outstanding as of such date;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conforming modifications, as well as adjustments to definitions.</w:t>
      </w:r>
    </w:p>
    <w:p>
      <w:pPr>
        <w:spacing w:after="0" w:line="207"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Amendment, on October 20, 2015, we voluntarily prepaid $50.0 million of the SSTL. Following the pay down, on October 20, 2015, there was approximately $476.6 million outstanding under the SSTL.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688" w:right="239" w:bottom="1440" w:gutter="0" w:footer="0" w:header="0"/>
        </w:sectPr>
      </w:pPr>
    </w:p>
    <w:bookmarkStart w:id="52" w:name="page53"/>
    <w:bookmarkEnd w:id="52"/>
    <w:p>
      <w:pPr>
        <w:ind w:left="980" w:right="26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(Dollars in thousands, except per share amounts and unless otherwise indicated)</w:t>
      </w:r>
    </w:p>
    <w:p>
      <w:pPr>
        <w:spacing w:after="0" w:line="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Forward-looking statements involve a number of assumptions, risks and uncertainties that could cause actual results to differ materially from those suggested by such statements. Our business has been undergoing substantial change, which has magnified such risks and uncertainties. You should bear these factors in mind when considering such statements and should not place undue reliance on such statements. In the past, actual results have differed from those suggested by forward looking statements, and this may happen again. You should consider all uncertainties and risks discussed or referenced in this report, including those under “Forward-Looking Statements” and Item 1A, Risk Factors, as well as those discussed under Part I to our Annual Report on Form 10-K for the year ended December 31, 2014 or in any subsequent SEC filings.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 financial services company that services and originates loans.</w:t>
      </w:r>
    </w:p>
    <w:p>
      <w:pPr>
        <w:spacing w:after="0" w:line="11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are a leader in the servicing industry in foreclosure prevention and loss mitigation, which helps families stay in their homes and improves financial outcomes for loan investors. Our leadership in the industry is evidenced by our high cure rate for delinquent loans and above average rate of continuing performance by homeowners whose loans we have modified. Ocwen has provided more loan modifications under the Federal Government’s Home Affordable Modification Program (HAMP) than any other mortgage servicer and 52% more than the next highest servicer, according to data published in the U.S. Treasury’s Making Home Affordable Second Quarter Program Performance Report. Overall, Ocwen has completed over 625,000 loan modifications from January 1, 2008 through September 30, 2015, including over 50,000 modifications under Ocwen’s own Shared Appreciation Modification (SAM) program.</w:t>
      </w:r>
    </w:p>
    <w:p>
      <w:pPr>
        <w:spacing w:after="0" w:line="27"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We originate, purchase, sell and securitize conventional and government-insured forward mortgage loans through our Homeward forward lending operations, and we originate, purchase, sell and securitize reverse mortgages through our Liberty reverse lending operations.</w:t>
      </w:r>
    </w:p>
    <w:p>
      <w:pPr>
        <w:spacing w:after="0" w:line="5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discussed in further detail under “Operations Summary” and “Segment Results of Operations” below, the key driver of our operating results for the three and nine months ended September 30, 2015, as compared to the three and nine months ended September 30, 2014, was a decrease in servicing revenue, resulting from a decline in the total UPB of our residential servicing portfolio from $411.3 billion as of September 30, 2014 to $288.1 billion as of September 30, 2015 primarily due to asset sales and portfolio runoff, that was not accompanied by a corresponding decrease in expenses.</w:t>
      </w:r>
    </w:p>
    <w:p>
      <w:pPr>
        <w:spacing w:after="0" w:line="7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order to be profitable, we will need to decrease our expenses so that they are more appropriately aligned with our reduced revenue profile. Accordingly, during the third quarter, we announced a cost improvement initiative with the goal of reducing 2016 expenses by at least $150 million in comparison to 2015 expenses. The primary areas in which we expect to generate cost reductions are Servicing operations, professional services, technology costs and other expenses. As we take very seriously our commitments to enhancing the borrower experience, strengthening our risk and compliance infrastructure and delivering strong loss mitigation results, we will continue to invest in those important areas.</w:t>
      </w:r>
    </w:p>
    <w:p>
      <w:pPr>
        <w:spacing w:after="0" w:line="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largely executed on our previously disclosed strategy to sell certain of our Agency MSRs with the intent of reducing our exposure to interest rate movements, monetizing significant unrealized value and generating significant liquidity. While almost all of our announced sales have now closed, if we view sale prices to be attractive, we may determine to sell additional Agency MSRs in the future. We anticipate that reducing the size of our Agency servicing portfolio will help simplify our operations and help improve our margins over time.</w:t>
      </w:r>
    </w:p>
    <w:p>
      <w:pPr>
        <w:spacing w:after="0" w:line="7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will also seek to increase our revenue through growing our lending business and, in time, our servicing business. We are investing in our forward lending business to build competitive advantages around processes and technology, and we believe the reverse mortgage business is a substantially under-developed market relative to its potential. With respect to our servicing business, our recent regulatory settlements have significantly limited our ability to grow our servicing portfolio, which naturally decreases over time through portfolio runoff. In order to grow our servicing portfolio through acquisitions, we will need to satisfy the conditions set forth in our consent orders with the NY DFS and CA DBO.</w:t>
      </w:r>
    </w:p>
    <w:p>
      <w:pPr>
        <w:spacing w:after="0" w:line="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will continue to evaluate new adjacent market opportunities that are consistent with our strategic goals where we believe we can capture competitive advantages and achieve attractive returns for our shareholders. These would include sustainable new opportunities that align with long-term macro trends; opportunities that can contribute meaningfully to our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792" w:right="259" w:bottom="1440" w:gutter="0" w:footer="0" w:header="0"/>
        </w:sectPr>
      </w:pPr>
    </w:p>
    <w:bookmarkStart w:id="53" w:name="page54"/>
    <w:bookmarkEnd w:id="53"/>
    <w:p>
      <w:pPr>
        <w:ind w:right="520"/>
        <w:spacing w:after="0" w:line="282" w:lineRule="auto"/>
        <w:rPr>
          <w:sz w:val="20"/>
          <w:szCs w:val="20"/>
          <w:color w:val="auto"/>
        </w:rPr>
      </w:pPr>
      <w:r>
        <w:rPr>
          <w:rFonts w:ascii="Times New Roman" w:cs="Times New Roman" w:eastAsia="Times New Roman" w:hAnsi="Times New Roman"/>
          <w:sz w:val="18"/>
          <w:szCs w:val="18"/>
          <w:color w:val="auto"/>
        </w:rPr>
        <w:t>long-term growth and return on equity; and, generally, businesses where we feel we can capture and maintain a long-term competitive advantage (e.g., advantages related to operating efficiencies, our cost of capital or our tax structure).</w:t>
      </w:r>
    </w:p>
    <w:p>
      <w:pPr>
        <w:spacing w:after="0" w:line="54" w:lineRule="exact"/>
        <w:rPr>
          <w:sz w:val="20"/>
          <w:szCs w:val="20"/>
          <w:color w:val="auto"/>
        </w:rPr>
      </w:pPr>
    </w:p>
    <w:p>
      <w:pPr>
        <w:ind w:right="240" w:firstLine="324"/>
        <w:spacing w:after="0" w:line="281" w:lineRule="auto"/>
        <w:rPr>
          <w:sz w:val="20"/>
          <w:szCs w:val="20"/>
          <w:color w:val="auto"/>
        </w:rPr>
      </w:pPr>
      <w:r>
        <w:rPr>
          <w:rFonts w:ascii="Times New Roman" w:cs="Times New Roman" w:eastAsia="Times New Roman" w:hAnsi="Times New Roman"/>
          <w:sz w:val="17"/>
          <w:szCs w:val="17"/>
          <w:color w:val="auto"/>
        </w:rPr>
        <w:t>Our business continues to be impacted by our recent regulatory settlements and the current regulatory environment. We have faced, and expect to continue to face, regulatory and public scrutiny as well as stricter and more comprehensive regulation of our business. We continue to work diligently to assess the implications of the regulatory environment in which we operate and to meet the requirements of the current environment. We devote substantial resources to regulatory compliance, while, at the same time, striving to meet the needs and expectations of our customers, clients and other stakeholders.</w:t>
      </w:r>
    </w:p>
    <w:p>
      <w:pPr>
        <w:spacing w:after="0" w:line="1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consolidated financial statements and the related notes thereto appearing elsewhere in this Quarterly Report on Form 10-Q and with our consolidated financial statements and notes thereto and management’s discussion and analysis of financial condition and results of operation appearing in our Annual Report on Form 10-K for the fiscal year ended December 31, 2014.</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60"/>
          </w:cols>
          <w:pgMar w:left="240" w:top="688" w:right="2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Operations Summary</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92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consolidated operating results for the three and nine months ended September 30.</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2014</w:t>
            </w:r>
          </w:p>
        </w:tc>
        <w:tc>
          <w:tcPr>
            <w:tcW w:w="1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360,017</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465,964</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1,203,541</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1,448,096</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27,218</w:t>
            </w:r>
          </w:p>
        </w:tc>
        <w:tc>
          <w:tcPr>
            <w:tcW w:w="12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116,934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110,041</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17,631</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20,516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58,166</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59,896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3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404,946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513,698</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1,378,641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1,618,033</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420" w:type="dxa"/>
            <w:vAlign w:val="bottom"/>
            <w:shd w:val="clear" w:color="auto" w:fill="EAF9E8"/>
          </w:tcPr>
          <w:p>
            <w:pPr>
              <w:spacing w:after="0"/>
              <w:rPr>
                <w:sz w:val="24"/>
                <w:szCs w:val="24"/>
                <w:color w:val="auto"/>
              </w:rPr>
            </w:pPr>
          </w:p>
        </w:tc>
        <w:tc>
          <w:tcPr>
            <w:tcW w:w="300" w:type="dxa"/>
            <w:vAlign w:val="bottom"/>
            <w:tcBorders>
              <w:bottom w:val="single" w:sz="8" w:color="auto"/>
            </w:tcBorders>
            <w:shd w:val="clear" w:color="auto" w:fill="EAF9E8"/>
          </w:tcPr>
          <w:p>
            <w:pPr>
              <w:spacing w:after="0"/>
              <w:rPr>
                <w:sz w:val="24"/>
                <w:szCs w:val="24"/>
                <w:color w:val="auto"/>
              </w:rPr>
            </w:pPr>
          </w:p>
        </w:tc>
        <w:tc>
          <w:tcPr>
            <w:tcW w:w="104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tcBorders>
              <w:bottom w:val="single" w:sz="8" w:color="auto"/>
            </w:tcBorders>
            <w:shd w:val="clear" w:color="auto" w:fill="EAF9E8"/>
          </w:tcPr>
          <w:p>
            <w:pPr>
              <w:spacing w:after="0"/>
              <w:rPr>
                <w:sz w:val="24"/>
                <w:szCs w:val="24"/>
                <w:color w:val="auto"/>
              </w:rPr>
            </w:pPr>
          </w:p>
        </w:tc>
        <w:tc>
          <w:tcPr>
            <w:tcW w:w="1020" w:type="dxa"/>
            <w:vAlign w:val="bottom"/>
            <w:tcBorders>
              <w:bottom w:val="single" w:sz="8" w:color="auto"/>
            </w:tcBorders>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tcBorders>
              <w:bottom w:val="single" w:sz="8" w:color="auto"/>
            </w:tcBorders>
            <w:shd w:val="clear" w:color="auto" w:fill="EAF9E8"/>
          </w:tcPr>
          <w:p>
            <w:pPr>
              <w:spacing w:after="0"/>
              <w:rPr>
                <w:sz w:val="24"/>
                <w:szCs w:val="24"/>
                <w:color w:val="auto"/>
              </w:rPr>
            </w:pPr>
          </w:p>
        </w:tc>
        <w:tc>
          <w:tcPr>
            <w:tcW w:w="106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480" w:type="dxa"/>
            <w:vAlign w:val="bottom"/>
            <w:tcBorders>
              <w:bottom w:val="single" w:sz="8" w:color="auto"/>
            </w:tcBorders>
            <w:shd w:val="clear" w:color="auto" w:fill="EAF9E8"/>
          </w:tcPr>
          <w:p>
            <w:pPr>
              <w:spacing w:after="0"/>
              <w:rPr>
                <w:sz w:val="24"/>
                <w:szCs w:val="24"/>
                <w:color w:val="auto"/>
              </w:rPr>
            </w:pPr>
          </w:p>
        </w:tc>
        <w:tc>
          <w:tcPr>
            <w:tcW w:w="880" w:type="dxa"/>
            <w:vAlign w:val="bottom"/>
            <w:tcBorders>
              <w:bottom w:val="single" w:sz="8" w:color="auto"/>
            </w:tcBorders>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387,726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455,039</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1,118,336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1,149,696</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80" w:type="dxa"/>
            <w:vAlign w:val="bottom"/>
            <w:shd w:val="clear" w:color="auto" w:fill="EAF9E8"/>
          </w:tcPr>
          <w:p>
            <w:pPr>
              <w:spacing w:after="0"/>
              <w:rPr>
                <w:sz w:val="22"/>
                <w:szCs w:val="22"/>
                <w:color w:val="auto"/>
              </w:rPr>
            </w:pPr>
          </w:p>
        </w:tc>
        <w:tc>
          <w:tcPr>
            <w:tcW w:w="8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(118,313)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(133,049)</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(362,606)</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(409,129)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mortgage servicing rights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2,124</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17,406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3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(130,925)</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(260,894)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(391,723)</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(72,266)</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76,614</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10,832</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2,992</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21,866</w:t>
            </w:r>
          </w:p>
        </w:tc>
        <w:tc>
          <w:tcPr>
            <w:tcW w:w="100" w:type="dxa"/>
            <w:vAlign w:val="bottom"/>
            <w:tcBorders>
              <w:bottom w:val="single" w:sz="8" w:color="EAF9E8"/>
            </w:tcBorders>
            <w:shd w:val="clear" w:color="auto" w:fill="EAF9E8"/>
          </w:tcPr>
          <w:p>
            <w:pPr>
              <w:spacing w:after="0"/>
              <w:rPr>
                <w:sz w:val="23"/>
                <w:szCs w:val="23"/>
                <w:color w:val="auto"/>
              </w:rPr>
            </w:pPr>
          </w:p>
        </w:tc>
        <w:tc>
          <w:tcPr>
            <w:tcW w:w="48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24,374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(75,258)</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52,240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20" w:type="dxa"/>
            <w:vAlign w:val="bottom"/>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8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420" w:type="dxa"/>
            <w:vAlign w:val="bottom"/>
            <w:tcBorders>
              <w:bottom w:val="single" w:sz="8" w:color="EAF9E8"/>
            </w:tcBorders>
            <w:shd w:val="clear" w:color="auto" w:fill="EAF9E8"/>
          </w:tcPr>
          <w:p>
            <w:pPr>
              <w:ind w:left="440"/>
              <w:spacing w:after="0"/>
              <w:rPr>
                <w:sz w:val="20"/>
                <w:szCs w:val="20"/>
                <w:color w:val="auto"/>
              </w:rPr>
            </w:pPr>
            <w:r>
              <w:rPr>
                <w:rFonts w:ascii="Times New Roman" w:cs="Times New Roman" w:eastAsia="Times New Roman" w:hAnsi="Times New Roman"/>
                <w:sz w:val="18"/>
                <w:szCs w:val="18"/>
                <w:color w:val="auto"/>
              </w:rPr>
              <w:t>interests</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spacing w:after="0"/>
              <w:rPr>
                <w:sz w:val="22"/>
                <w:szCs w:val="22"/>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1"/>
        </w:trPr>
        <w:tc>
          <w:tcPr>
            <w:tcW w:w="342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Ocwen stockholders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(75,381)</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52,075</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5"/>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Deemed dividend related to beneficial</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conversion feature of preferred stock</w:t>
            </w:r>
          </w:p>
        </w:tc>
        <w:tc>
          <w:tcPr>
            <w:tcW w:w="3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420" w:type="dxa"/>
            <w:vAlign w:val="bottom"/>
            <w:shd w:val="clear" w:color="auto" w:fill="EAF9E8"/>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300" w:type="dxa"/>
            <w:vAlign w:val="bottom"/>
            <w:vMerge w:val="restart"/>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(66,869)</w:t>
            </w:r>
          </w:p>
        </w:tc>
        <w:tc>
          <w:tcPr>
            <w:tcW w:w="100" w:type="dxa"/>
            <w:vAlign w:val="bottom"/>
            <w:shd w:val="clear" w:color="auto" w:fill="EAF9E8"/>
          </w:tcPr>
          <w:p>
            <w:pPr>
              <w:spacing w:after="0"/>
              <w:rPr>
                <w:sz w:val="17"/>
                <w:szCs w:val="17"/>
                <w:color w:val="auto"/>
              </w:rPr>
            </w:pPr>
          </w:p>
        </w:tc>
        <w:tc>
          <w:tcPr>
            <w:tcW w:w="320" w:type="dxa"/>
            <w:vAlign w:val="bottom"/>
            <w:vMerge w:val="restart"/>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(76,189)</w:t>
            </w: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300" w:type="dxa"/>
            <w:vAlign w:val="bottom"/>
            <w:vMerge w:val="restart"/>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(22,776)</w:t>
            </w:r>
          </w:p>
        </w:tc>
        <w:tc>
          <w:tcPr>
            <w:tcW w:w="100" w:type="dxa"/>
            <w:vAlign w:val="bottom"/>
            <w:shd w:val="clear" w:color="auto" w:fill="EAF9E8"/>
          </w:tcPr>
          <w:p>
            <w:pPr>
              <w:spacing w:after="0"/>
              <w:rPr>
                <w:sz w:val="17"/>
                <w:szCs w:val="17"/>
                <w:color w:val="auto"/>
              </w:rPr>
            </w:pPr>
          </w:p>
        </w:tc>
        <w:tc>
          <w:tcPr>
            <w:tcW w:w="480" w:type="dxa"/>
            <w:vAlign w:val="bottom"/>
            <w:vMerge w:val="restart"/>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49,273</w:t>
            </w:r>
          </w:p>
        </w:tc>
        <w:tc>
          <w:tcPr>
            <w:tcW w:w="10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420" w:type="dxa"/>
            <w:vAlign w:val="bottom"/>
            <w:tcBorders>
              <w:bottom w:val="single" w:sz="8" w:color="EAF9E8"/>
            </w:tcBorders>
            <w:shd w:val="clear" w:color="auto" w:fill="EAF9E8"/>
          </w:tcPr>
          <w:p>
            <w:pPr>
              <w:ind w:left="540"/>
              <w:spacing w:after="0"/>
              <w:rPr>
                <w:sz w:val="20"/>
                <w:szCs w:val="20"/>
                <w:color w:val="auto"/>
              </w:rPr>
            </w:pPr>
            <w:r>
              <w:rPr>
                <w:rFonts w:ascii="Times New Roman" w:cs="Times New Roman" w:eastAsia="Times New Roman" w:hAnsi="Times New Roman"/>
                <w:sz w:val="18"/>
                <w:szCs w:val="18"/>
                <w:b w:val="1"/>
                <w:bCs w:val="1"/>
                <w:color w:val="auto"/>
              </w:rPr>
              <w:t>Ocwen common stockholders</w:t>
            </w:r>
          </w:p>
        </w:tc>
        <w:tc>
          <w:tcPr>
            <w:tcW w:w="300" w:type="dxa"/>
            <w:vAlign w:val="bottom"/>
            <w:tcBorders>
              <w:bottom w:val="single" w:sz="8" w:color="auto"/>
            </w:tcBorders>
            <w:vMerge w:val="continue"/>
            <w:shd w:val="clear" w:color="auto" w:fill="EAF9E8"/>
          </w:tcPr>
          <w:p>
            <w:pPr>
              <w:spacing w:after="0"/>
              <w:rPr>
                <w:sz w:val="21"/>
                <w:szCs w:val="21"/>
                <w:color w:val="auto"/>
              </w:rPr>
            </w:pPr>
          </w:p>
        </w:tc>
        <w:tc>
          <w:tcPr>
            <w:tcW w:w="1040" w:type="dxa"/>
            <w:vAlign w:val="bottom"/>
            <w:tcBorders>
              <w:bottom w:val="single" w:sz="8" w:color="auto"/>
            </w:tcBorders>
            <w:vMerge w:val="continue"/>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auto"/>
            </w:tcBorders>
            <w:vMerge w:val="continue"/>
            <w:shd w:val="clear" w:color="auto" w:fill="EAF9E8"/>
          </w:tcPr>
          <w:p>
            <w:pPr>
              <w:spacing w:after="0"/>
              <w:rPr>
                <w:sz w:val="21"/>
                <w:szCs w:val="21"/>
                <w:color w:val="auto"/>
              </w:rPr>
            </w:pPr>
          </w:p>
        </w:tc>
        <w:tc>
          <w:tcPr>
            <w:tcW w:w="1020" w:type="dxa"/>
            <w:vAlign w:val="bottom"/>
            <w:tcBorders>
              <w:bottom w:val="single" w:sz="8" w:color="auto"/>
            </w:tcBorders>
            <w:vMerge w:val="continue"/>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auto"/>
            </w:tcBorders>
            <w:vMerge w:val="continue"/>
            <w:shd w:val="clear" w:color="auto" w:fill="EAF9E8"/>
          </w:tcPr>
          <w:p>
            <w:pPr>
              <w:spacing w:after="0"/>
              <w:rPr>
                <w:sz w:val="21"/>
                <w:szCs w:val="21"/>
                <w:color w:val="auto"/>
              </w:rPr>
            </w:pPr>
          </w:p>
        </w:tc>
        <w:tc>
          <w:tcPr>
            <w:tcW w:w="1060" w:type="dxa"/>
            <w:vAlign w:val="bottom"/>
            <w:tcBorders>
              <w:bottom w:val="single" w:sz="8" w:color="auto"/>
            </w:tcBorders>
            <w:vMerge w:val="continue"/>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auto"/>
            </w:tcBorders>
            <w:vMerge w:val="continue"/>
            <w:shd w:val="clear" w:color="auto" w:fill="EAF9E8"/>
          </w:tcPr>
          <w:p>
            <w:pPr>
              <w:spacing w:after="0"/>
              <w:rPr>
                <w:sz w:val="21"/>
                <w:szCs w:val="21"/>
                <w:color w:val="auto"/>
              </w:rPr>
            </w:pPr>
          </w:p>
        </w:tc>
        <w:tc>
          <w:tcPr>
            <w:tcW w:w="880" w:type="dxa"/>
            <w:vAlign w:val="bottom"/>
            <w:tcBorders>
              <w:bottom w:val="single" w:sz="8" w:color="auto"/>
            </w:tcBorders>
            <w:vMerge w:val="continue"/>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Segment income (loss) before income taxes: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78,558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212,669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Lending</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6,608</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39,017</w:t>
            </w:r>
          </w:p>
        </w:tc>
        <w:tc>
          <w:tcPr>
            <w:tcW w:w="100" w:type="dxa"/>
            <w:vAlign w:val="bottom"/>
            <w:tcBorders>
              <w:bottom w:val="single" w:sz="8" w:color="EAF9E8"/>
            </w:tcBorders>
            <w:shd w:val="clear" w:color="auto" w:fill="EAF9E8"/>
          </w:tcPr>
          <w:p>
            <w:pPr>
              <w:spacing w:after="0"/>
              <w:rPr>
                <w:sz w:val="21"/>
                <w:szCs w:val="21"/>
                <w:color w:val="auto"/>
              </w:rPr>
            </w:pPr>
          </w:p>
        </w:tc>
        <w:tc>
          <w:tcPr>
            <w:tcW w:w="48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14,242</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(123,392)</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(150,297)</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(72,266)</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EAF9E8"/>
            </w:tcBorders>
            <w:shd w:val="clear" w:color="auto" w:fill="EAF9E8"/>
          </w:tcPr>
          <w:p>
            <w:pPr>
              <w:spacing w:after="0"/>
              <w:rPr>
                <w:sz w:val="22"/>
                <w:szCs w:val="22"/>
                <w:color w:val="auto"/>
              </w:rPr>
            </w:pPr>
          </w:p>
        </w:tc>
        <w:tc>
          <w:tcPr>
            <w:tcW w:w="480" w:type="dxa"/>
            <w:vAlign w:val="bottom"/>
            <w:tcBorders>
              <w:bottom w:val="single" w:sz="8" w:color="auto"/>
            </w:tcBorders>
            <w:shd w:val="clear" w:color="auto" w:fill="EAF9E8"/>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76,614</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2015 versus 2014</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Servicing and subservicing fees for the third quarter of 2015 were 23% lower than the third quarter of 2014, primarily as a result of portfolio runoff and executing on our strategy to sell certain of our Agency MSRs. These lower fees were offset in part by significant net gains from the sale of these MSRs compared to no MSR sales in the third quarter of 2014. During the third quarter of 2015, we recognized $41.2 million in net gains on the sale of MSRs relating to loans with a UPB of $22.0 billion.</w:t>
      </w:r>
    </w:p>
    <w:p>
      <w:pPr>
        <w:spacing w:after="0" w:line="72"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Ultimately, we expect that reducing the size of our Agency servicing portfolio will help to simplify our operations and improve our margins; however, through September 30, 2015, we have not realized improved margins as right sizing our servicing operations will lag the reductions in the size of our servicing portfolio and the related reductions in revenue. Workforce and servicing operations adjustments require time to implement properly, and we have certain post-sale support obligations in connection with our MSR sales. For example, while we may continue to serve as interim servicer between</w:t>
      </w:r>
    </w:p>
    <w:p>
      <w:pPr>
        <w:sectPr>
          <w:pgSz w:w="11900" w:h="16838" w:orient="portrait"/>
          <w:cols w:equalWidth="0" w:num="1">
            <w:col w:w="11420"/>
          </w:cols>
          <w:pgMar w:left="240" w:top="684"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684" w:right="2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transaction closing dates and servicing transfer dates, we are no longer entitled to service fees or ancillary income during the interim servicing period.</w:t>
      </w:r>
    </w:p>
    <w:p>
      <w:pPr>
        <w:spacing w:after="0" w:line="63"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To the extent we close our remaining announced asset sales or undertake additional sales of MSRs, we will experience further reductions in revenue in future periods as a result of declining servicing and subservicing fees. To the extent we sell MSRs for proceeds in excess of their carrying value, we will recognize net gains that will partly offset these declines in servicing and subservicing fees.</w:t>
      </w:r>
    </w:p>
    <w:p>
      <w:pPr>
        <w:spacing w:after="0" w:line="6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Gain on loans held for sale from our lending operations increased $5.8 million primarily due to an increase in total forward lending origination volume and higher margin rates in the direct and correspondent forward lending channels. In our servicing business, gains on sales of loans repurchased from Ginnie Mae guaranteed securitizations declined by $5.7 million.</w:t>
      </w:r>
    </w:p>
    <w:p>
      <w:pPr>
        <w:spacing w:after="0" w:line="68"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Expenses were $67.3 million or 15% lower in the third quarter of 2015 as compared to the third quarter of 2014. Professional services declined $98.3 million as the third quarter of 2014 included a $100.0 million charge accrued in connection with the NY DFS settlement. MSR amortization and valuation adjustments, including both fair value adjustments and impairment charges, increased due to an impairment charge of $23.4 million that was offset in large part by the effect of MSR sales.</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for the third quarter of 2015 decreased as compared to the third quarter of 2014 primarily as a result of reductions in the value of the NRZ financing liability based on the run-off of the underlying MSR servicing portfolio and a decrease in interest on the SSTL as a result of prepayments from proceeds of MSR sales during 2015.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2015 versus 2014</w:t>
      </w:r>
    </w:p>
    <w:p>
      <w:pPr>
        <w:spacing w:after="0" w:line="121"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Servicing and subservicing fees were 17% lower primarily as a result of MSR sales, portfolio runoff and a decline in modifications. However, our sales of MSRs relating to loans with a UPB of $87.6 billion in the nine months ended September 30, 2015 allowed us to release significant unrealized value in our servicing portfolios as we recognized $98.0 million in net gains on the sales.</w:t>
      </w:r>
    </w:p>
    <w:p>
      <w:pPr>
        <w:spacing w:after="0" w:line="6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Gain on loans held for sale from our lending operations increased $20.3 million primarily due to higher margin rates in all three forward lending channels and an increase in reverse lending origination volume. Gains on sales of loans repurchased from Ginnie Mae guaranteed securitizations declined by $13.8 million.</w:t>
      </w:r>
    </w:p>
    <w:p>
      <w:pPr>
        <w:spacing w:after="0" w:line="6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Expenses declined $31.4 million, or 3%. Professional services declined due to the $100.0 million charge recognized during the third quarter of 2014 in connection with the NY DFS settlement. Lower litigation costs were offset in part by higher regulatory monitoring and compliance costs and fees paid to advisers assisting us with strategic initiatives. In 2015, we engaged financial and legal advisers to assist us in evaluating and executing on adjustments to our capital structure and exploring other strategic options and have incurred $24.9 million through September 30, 2015 in connection with these initiatives. MSR amortization and valuation adjustments, including both fair value adjustments and impairment charges, were lower for the nine months ended September 30, 2015 as the effect of MSR sales and portfolio runoff more than offset impairment charges.</w:t>
      </w:r>
    </w:p>
    <w:p>
      <w:pPr>
        <w:spacing w:after="0" w:line="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Interest expense decreased as compared to the nine months ended September 30, 2014 primarily as a result of reductions in the value of the NRZ financing liability based on the run-off of the underlying MSR servicing portfolio. This decrease was offset by additional debt issuance costs resulting from amendments to the SSTL in 2015 and the accelerated recognition of deferred debt issuance costs resulting from prepayments of the SSTL from proceeds of MSR sales. Also, the 2015 period includes a full nine months of interest expense on the $350.0 million Senior Unsecured Notes that we issued in May 2014.</w:t>
      </w:r>
    </w:p>
    <w:p>
      <w:pPr>
        <w:spacing w:after="0" w:line="7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Although we incurred a pre-tax loss of $0.6 million for the nine months ended September 30, 2015, we recognized income tax expense of $21.9 million rather than a benefit primarily because of additional income tax expense recorded in connection with uncertain tax positions. The $100.0 million charge we accrued during the third quarter of 2014 in connection with the NY DFS settlement is not deductible for tax purposes and therefore resulted in a higher effective tax rate for the nine months ended September 30, 2014.</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688"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24"/>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consolidated balance sheets at the dates indicated.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6"/>
        </w:trPr>
        <w:tc>
          <w:tcPr>
            <w:tcW w:w="7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8"/>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72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72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458,674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129,473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Mortgage servicing rights ($787,344 and $93,901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1,153,295</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1,913,992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Advances and match funded advances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2,472,996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3,303,356</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Loans held for sale ($235,909 and $401,120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526,972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488,612</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held for investment - reverse mortgages, at fair value</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2,319,515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1,550,141</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Other ($18,551 and $7,335 carried at fair value)</w:t>
            </w: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1,079,602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881,704</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7220" w:type="dxa"/>
            <w:vAlign w:val="bottom"/>
            <w:tcBorders>
              <w:bottom w:val="single" w:sz="8" w:color="EAF9E8"/>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8,011,054</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8,267,278</w:t>
            </w:r>
          </w:p>
        </w:tc>
        <w:tc>
          <w:tcPr>
            <w:tcW w:w="114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1"/>
        </w:trPr>
        <w:tc>
          <w:tcPr>
            <w:tcW w:w="72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by Segment: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4,681,176</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5,881,862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Lending</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2,571,893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1,963,729</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757,985</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421,687</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80</w:t>
            </w:r>
          </w:p>
        </w:tc>
      </w:tr>
      <w:tr>
        <w:trPr>
          <w:trHeight w:val="297"/>
        </w:trPr>
        <w:tc>
          <w:tcPr>
            <w:tcW w:w="72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8,011,054</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8,267,278</w:t>
            </w:r>
          </w:p>
        </w:tc>
        <w:tc>
          <w:tcPr>
            <w:tcW w:w="114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1"/>
        </w:trPr>
        <w:tc>
          <w:tcPr>
            <w:tcW w:w="72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Match funded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1,589,846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2,090,247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Financing liabilities ($2,789,663 and $2,058,693 carried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2,953,518</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2,258,641</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secured borrowings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1,001,070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1,733,691</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Senior unsecured notes</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1,036,165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793,534</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72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72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6,930,599</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7,226,113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7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Total Ocwen stockholders’ equity</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1,077,363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1,038,394</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2,771</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2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72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1,080,455</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1,041,165</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722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8,011,054</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8,267,278</w:t>
            </w:r>
          </w:p>
        </w:tc>
        <w:tc>
          <w:tcPr>
            <w:tcW w:w="114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1"/>
        </w:trPr>
        <w:tc>
          <w:tcPr>
            <w:tcW w:w="72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by Segment: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4,092,263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4,986,877</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Lending</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2,524,814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1,900,672</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7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313,522</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338,564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7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6,930,599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7,226,113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Changes in the composition and balance of our assets and liabilities during the nine months ended September 30, 2015 are primarily attributable to the execution of our strategy to sell certain of our Agency MSRs and related advances and repayments of the related liabilities. Loans held for investment and financing liabilities increased as a result of our reverse mortgage securitizations accounted for as secured financings.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activities are organized into two reportable business segments - Servicing and Lending, as well as a Corporate Items and Other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Servicing</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Servicing business is primarily comprised of our core residential mortgage servicing business and currently accounts for the majority of our total revenues. Our servicing clients include non-Agency residential mortgage-backed securities (RMBS) trusts and some of the largest financial institutions in the U.S., including Fannie Mae, Freddie Mac and Ginnie Mae.</w:t>
      </w:r>
    </w:p>
    <w:p>
      <w:pPr>
        <w:sectPr>
          <w:pgSz w:w="11900" w:h="16838" w:orient="portrait"/>
          <w:cols w:equalWidth="0" w:num="1">
            <w:col w:w="11420"/>
          </w:cols>
          <w:pgMar w:left="240" w:top="684"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684" w:right="239" w:bottom="1440" w:gutter="0" w:footer="0" w:header="0"/>
          <w:type w:val="continuous"/>
        </w:sectPr>
      </w:pPr>
    </w:p>
    <w:bookmarkStart w:id="57" w:name="page58"/>
    <w:bookmarkEnd w:id="57"/>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Servicing primarily involves the collection and remittance of principal and interest payments received from borrowers, the administration of mortgage escrow accounts and the collection of insurance claims. Servicing also involves the management of loans that are delinquent, including those in foreclosure or bankruptcy, making servicing advances, evaluating loans for modification and other loss mitigation activities and, if necessary, foreclosure referrals and REO sales on behalf of investors or other servicers. Master servicing involves the collection of payments from servicers and the distribution of funds to investors in mortgage and asset-backed securities and whole loan packages. We earn contractual monthly servicing fees pursuant to servicing agreements (which are typically payable as a percentage of UPB) as well as ancillary fees in connection with owned MSRs. We also earn fees under both subservicing and special servicing arrangements with banks and other institutions that own the MSRs.</w:t>
      </w:r>
    </w:p>
    <w:p>
      <w:pPr>
        <w:spacing w:after="0" w:line="8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recognize servicing fees as revenue when the fees are earned, which is generally when the borrower makes a payment or when a delinquent loan is resolved through modification, repayment plan, payoff or through the sale of the underlying mortgaged property following foreclosure. Therefore, our revenue recognition is generally a function of UPB, the number of payments received and delinquent loans that resolve. Servicing fee revenue from subservicing and special servicing arrangements may be earned on a per loan basis, which is typically dependent on delinquency status. When a loan becomes current via our non-HAMP modification process, deferred servicing fees and late fees are considered earned and are recognized as revenue. However, if any debt is forgiven as part of a non-HAMP modification, no late fees are collected or earned. When a loan becomes current via the HAMP modification process, deferred servicing fees are earned and recognized as revenue. However, late fees are forfeited. Initial HAMP fees are also recognized as revenue at that time. In addition, under HAMP, if a modified loan remains less than 90 days delinquent, we earn HAMP success fees at the first, second and third anniversaries of the start of the trial modification.</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HUD, Freddie Mac, Fannie Mae and Ginnie Mae have approved OLS as a loan servicer. We are also the subject of mortgage servicer ratings issued and revised from time to time by rating agencies including Moody’s Investors Services, Inc. (Moody’s), Morningstar, Inc. (Morningstar), Standard &amp; Poor’s Rating Services (S&amp;P) and Fitch Ratings Inc. (Fitch). Favorable ratings from these agencies are important to the conduct of our loan servicing and lending businesses.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key ratings by these rating agencies: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Morningstar</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S&amp;P</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Fitch</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Residential Prime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Below 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RPS4</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Residential Subprime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MOR RS3</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Below 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RPS4</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Residential Special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MOR RS3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Below 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RSS4</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Residential Second/Subordinate Lien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Below 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RPS4</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Residential Home Equity Servicer</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rPr>
              <w:t>RPS4</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Residential Alt A Servicer</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RPS4</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40" w:type="dxa"/>
            <w:vAlign w:val="bottom"/>
            <w:tcBorders>
              <w:bottom w:val="single" w:sz="8" w:color="EAF9E8"/>
            </w:tcBorders>
            <w:gridSpan w:val="2"/>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Master Servicing</w:t>
            </w:r>
          </w:p>
        </w:tc>
        <w:tc>
          <w:tcPr>
            <w:tcW w:w="18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SQ3-</w:t>
            </w:r>
          </w:p>
        </w:tc>
        <w:tc>
          <w:tcPr>
            <w:tcW w:w="182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Below 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Times New Roman" w:cs="Times New Roman" w:eastAsia="Times New Roman" w:hAnsi="Times New Roman"/>
                <w:sz w:val="18"/>
                <w:szCs w:val="18"/>
                <w:color w:val="auto"/>
                <w:w w:val="97"/>
              </w:rPr>
              <w:t>RMS4</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Ratings Outlook</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Negative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Positive</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24"/>
        </w:trPr>
        <w:tc>
          <w:tcPr>
            <w:tcW w:w="4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700" w:type="dxa"/>
            <w:vAlign w:val="bottom"/>
            <w:shd w:val="clear" w:color="auto" w:fill="EAF9E8"/>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Date of last action</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23, 2015</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6, 2015</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28, 2015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24, 2015</w:t>
            </w:r>
          </w:p>
        </w:tc>
      </w:tr>
    </w:tbl>
    <w:p>
      <w:pPr>
        <w:spacing w:after="0" w:line="117"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Removed from review for downgrade in June 2015.</w:t>
      </w:r>
    </w:p>
    <w:p>
      <w:pPr>
        <w:spacing w:after="0" w:line="11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Each of these rating agencies has downgraded our servicer rating within the last year. In June 2015, Moody’s and Fitch confirmed our servicer ratings and S&amp;P lowered a number of our residential servicer ratings to “Below Average”. In September 2015, S&amp;P lowered our Master Servicing rating to “Below Average,” and Moody’s introduced a rating for Master Servicing for which the rating was consistent with the other categories rated by Moody’s. In addition to servicer ratings, each of the rating agencies will from time to time assign an outlook (or a ratings watch) to a mortgage servicer’s rating status. A negative outlook is generally used to indicate that a ranking “may be lowered.”</w:t>
      </w:r>
    </w:p>
    <w:p>
      <w:pPr>
        <w:spacing w:after="0" w:line="1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Failure to maintain minimum servicer ratings could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w:t>
      </w:r>
    </w:p>
    <w:p>
      <w:pPr>
        <w:spacing w:after="0" w:line="18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Certain of our servicing agreements require that we maintain specified servicer ratings. Out of 4,015 non-Agency servicing agreements, 745 with $41.8 billion of UPB as of September 30, 2015 have minimum servicer ratings criteria. As a result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688" w:right="239" w:bottom="1440" w:gutter="0" w:footer="0" w:header="0"/>
        </w:sectPr>
      </w:pPr>
    </w:p>
    <w:bookmarkStart w:id="58" w:name="page59"/>
    <w:bookmarkEnd w:id="58"/>
    <w:p>
      <w:pPr>
        <w:ind w:right="40"/>
        <w:spacing w:after="0" w:line="255" w:lineRule="auto"/>
        <w:rPr>
          <w:sz w:val="20"/>
          <w:szCs w:val="20"/>
          <w:color w:val="auto"/>
        </w:rPr>
      </w:pPr>
      <w:r>
        <w:rPr>
          <w:rFonts w:ascii="Times New Roman" w:cs="Times New Roman" w:eastAsia="Times New Roman" w:hAnsi="Times New Roman"/>
          <w:sz w:val="18"/>
          <w:szCs w:val="18"/>
          <w:color w:val="auto"/>
        </w:rPr>
        <w:t>downgrades in our servicer ratings, termination rights have been triggered in 663 of these non-Agency servicing agreements. This represents approximately $35.9 billion in UPB as of September 30, 2015, or approximately 18% of our total non-Agency servicing portfolio. We received notices terminating us as the servicer under four of our non-Agency servicing agreements due to rating downgrades. Pursuant to our servicing agreements, generally we are entitled to payment of accrued and unpaid servicing fees through termination as well as all advances and certain other previously unreimbursed amounts, although we lose the future servicing fee revenue. The financial impact of the termination of servicing under these four servicing agreements was immaterial to our overall financial condition. We could be subject to further terminations, either as a result of recent servicer ratings downgrades or future adverse actions by rating agencies, which could have an adverse effect on our business, financing activities, financial condition and results of operations.</w:t>
      </w:r>
    </w:p>
    <w:p>
      <w:pPr>
        <w:spacing w:after="0" w:line="29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results of operations of our Servicing segment for the three and nine months ended September 30. The amounts presented are before the elimination of balances and transactions with our other segments: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357,439</w:t>
            </w:r>
          </w:p>
        </w:tc>
        <w:tc>
          <w:tcPr>
            <w:tcW w:w="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460,861</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1,195,512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1,434,721</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4,739</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12,221</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359,622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465,600</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1,203,018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1,446,942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9,937</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47,800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Other revenues</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11,097</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9,766</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32,243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31,864</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374,936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485,303</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1,269,269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1,526,606</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56,926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65,466</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180,891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206,780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60,689</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87,926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185,263</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98,955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47,093</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248,470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118,411</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36,378</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71,786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96,790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31,173</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36,929</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92,885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60,261</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21,418</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64,784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69,879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67,238</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45,991</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194,022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182,614</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318,439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313,964</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940,764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919,998</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2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903</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1,805</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(124,106)</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(391,122)</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2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Gain (loss) on sale of mortgage servicing</w:t>
            </w: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2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rights</w:t>
            </w:r>
          </w:p>
        </w:tc>
        <w:tc>
          <w:tcPr>
            <w:tcW w:w="3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41,246</w:t>
            </w:r>
          </w:p>
        </w:tc>
        <w:tc>
          <w:tcPr>
            <w:tcW w:w="10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gridSpan w:val="2"/>
            <w:shd w:val="clear" w:color="auto" w:fill="EAF9E8"/>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97,958</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(69,239)</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(126,821)</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(249,947)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(393,939)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420" w:type="dxa"/>
            <w:vAlign w:val="bottom"/>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44,518</w:t>
            </w:r>
          </w:p>
        </w:tc>
        <w:tc>
          <w:tcPr>
            <w:tcW w:w="116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78,558</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212,669</w:t>
            </w:r>
          </w:p>
        </w:tc>
        <w:tc>
          <w:tcPr>
            <w:tcW w:w="114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3420" w:type="dxa"/>
            <w:vAlign w:val="bottom"/>
            <w:tcBorders>
              <w:top w:val="single" w:sz="8" w:color="EAF9E8"/>
              <w:bottom w:val="single" w:sz="8" w:color="EAF9E8"/>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color w:val="auto"/>
        </w:rPr>
        <w:t>The following table provides selected operating statistics at September 30: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70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Residential Assets Serviced</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Unpaid principal balance:</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Performing loans (1)</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250,488,153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356,287,572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Non-performing loans</w:t>
            </w: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31,494,566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47,894,124</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Non-performing real estate</w:t>
            </w:r>
          </w:p>
        </w:tc>
        <w:tc>
          <w:tcPr>
            <w:tcW w:w="2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6,086,430</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7,097,918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706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color w:val="auto"/>
              </w:rPr>
              <w:t>Total residential assets serviced (2)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288,069,149</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411,279,614</w:t>
            </w:r>
          </w:p>
        </w:tc>
        <w:tc>
          <w:tcPr>
            <w:tcW w:w="114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84"/>
        </w:trPr>
        <w:tc>
          <w:tcPr>
            <w:tcW w:w="70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Conventional loans (3)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105,211,950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198,260,020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Government insured loans</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33,364,802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41,021,612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Non-Agency loans</w:t>
            </w: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149,492,397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171,997,982</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0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70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residential loans serviced</w:t>
            </w: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288,069,149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411,279,614</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84"/>
        </w:trPr>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Percent of total UPB:</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portfolio</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Subservicing portfolio</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Non-performing residential assets serviced</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70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Performing loans (1)</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1,644,707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2,285,143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Non-performing loans</w:t>
            </w: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158,626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233,184</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Non-performing real estate</w:t>
            </w:r>
          </w:p>
        </w:tc>
        <w:tc>
          <w:tcPr>
            <w:tcW w:w="2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31,612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37,413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706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color w:val="auto"/>
              </w:rPr>
              <w:t>Total number of residential assets serviced (2)</w:t>
            </w:r>
          </w:p>
        </w:tc>
        <w:tc>
          <w:tcPr>
            <w:tcW w:w="2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1,834,945</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2,555,740</w:t>
            </w:r>
          </w:p>
        </w:tc>
        <w:tc>
          <w:tcPr>
            <w:tcW w:w="114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84"/>
        </w:trPr>
        <w:tc>
          <w:tcPr>
            <w:tcW w:w="706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12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Conventional loans (3)</w:t>
            </w: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585,744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1,134,598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Government insured loans</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234,097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273,028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Non-Agency loans</w:t>
            </w: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1,015,104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1,148,114</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0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70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residential loans serviced</w:t>
            </w:r>
          </w:p>
        </w:tc>
        <w:tc>
          <w:tcPr>
            <w:tcW w:w="280" w:type="dxa"/>
            <w:vAlign w:val="bottom"/>
            <w:tcBorders>
              <w:bottom w:val="single" w:sz="8" w:color="auto"/>
            </w:tcBorders>
            <w:shd w:val="clear" w:color="auto" w:fill="EAF9E8"/>
          </w:tcPr>
          <w:p>
            <w:pPr>
              <w:spacing w:after="0"/>
              <w:rPr>
                <w:sz w:val="22"/>
                <w:szCs w:val="22"/>
                <w:color w:val="auto"/>
              </w:rPr>
            </w:pPr>
          </w:p>
        </w:tc>
        <w:tc>
          <w:tcPr>
            <w:tcW w:w="128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1,834,945</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28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2,555,740</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11"/>
        </w:trPr>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Percent of total number:</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Servicing portfolio</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Subservicing portfolio</w:t>
            </w: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Non-performing residential assets serviced</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selected operating statistics for the three and nine months ended September 30:</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8"/>
        </w:trPr>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2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Residential Assets Serviced</w:t>
            </w: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25"/>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UPB of residential assets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2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serviced:</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259,913,365</w:t>
            </w:r>
          </w:p>
        </w:tc>
        <w:tc>
          <w:tcPr>
            <w:tcW w:w="4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370,529,580</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294,524,820</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383,568,861</w:t>
            </w:r>
          </w:p>
        </w:tc>
        <w:tc>
          <w:tcPr>
            <w:tcW w:w="1140" w:type="dxa"/>
            <w:vAlign w:val="bottom"/>
            <w:tcBorders>
              <w:bottom w:val="single" w:sz="8" w:color="EAF9E8"/>
            </w:tcBorders>
            <w:gridSpan w:val="2"/>
            <w:shd w:val="clear" w:color="auto" w:fill="EAF9E8"/>
          </w:tcPr>
          <w:p>
            <w:pPr>
              <w:ind w:left="66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2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51,312,236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51,918,021</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40,783,586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57,030,164</w:t>
            </w: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296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57"/>
        </w:trPr>
        <w:tc>
          <w:tcPr>
            <w:tcW w:w="2960" w:type="dxa"/>
            <w:vAlign w:val="bottom"/>
            <w:shd w:val="clear" w:color="auto" w:fill="EAF9E8"/>
          </w:tcPr>
          <w:p>
            <w:pPr>
              <w:spacing w:after="0"/>
              <w:rPr>
                <w:sz w:val="22"/>
                <w:szCs w:val="22"/>
                <w:color w:val="auto"/>
              </w:rPr>
            </w:pPr>
          </w:p>
        </w:tc>
        <w:tc>
          <w:tcPr>
            <w:tcW w:w="280" w:type="dxa"/>
            <w:vAlign w:val="bottom"/>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311,225,601</w:t>
            </w:r>
          </w:p>
        </w:tc>
        <w:tc>
          <w:tcPr>
            <w:tcW w:w="400" w:type="dxa"/>
            <w:vAlign w:val="bottom"/>
            <w:gridSpan w:val="2"/>
            <w:shd w:val="clear" w:color="auto" w:fill="EAF9E8"/>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422,447,601</w:t>
            </w:r>
          </w:p>
        </w:tc>
        <w:tc>
          <w:tcPr>
            <w:tcW w:w="114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335,308,406</w:t>
            </w:r>
          </w:p>
        </w:tc>
        <w:tc>
          <w:tcPr>
            <w:tcW w:w="120" w:type="dxa"/>
            <w:vAlign w:val="bottom"/>
            <w:shd w:val="clear" w:color="auto" w:fill="EAF9E8"/>
          </w:tcPr>
          <w:p>
            <w:pPr>
              <w:spacing w:after="0"/>
              <w:rPr>
                <w:sz w:val="22"/>
                <w:szCs w:val="22"/>
                <w:color w:val="auto"/>
              </w:rPr>
            </w:pPr>
          </w:p>
        </w:tc>
        <w:tc>
          <w:tcPr>
            <w:tcW w:w="280" w:type="dxa"/>
            <w:vAlign w:val="bottom"/>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440,599,025</w:t>
            </w:r>
          </w:p>
        </w:tc>
        <w:tc>
          <w:tcPr>
            <w:tcW w:w="1140" w:type="dxa"/>
            <w:vAlign w:val="bottom"/>
            <w:gridSpan w:val="2"/>
            <w:shd w:val="clear" w:color="auto" w:fill="EAF9E8"/>
          </w:tcPr>
          <w:p>
            <w:pPr>
              <w:ind w:left="66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96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40" w:type="dxa"/>
            <w:vAlign w:val="bottom"/>
            <w:tcBorders>
              <w:top w:val="single" w:sz="8" w:color="EAF9E8"/>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688"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Prepayment speed (average CPR)</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Voluntary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 Involuntary</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CPR due to principal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8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modification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288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1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r>
      <w:tr>
        <w:trPr>
          <w:trHeight w:val="225"/>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residential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 portfolio</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1,673,264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2,302,076</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1,865,929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2,368,498</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 portfolio</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319,179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318,100</w:t>
            </w:r>
          </w:p>
        </w:tc>
        <w:tc>
          <w:tcPr>
            <w:tcW w:w="10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245,403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351,741</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8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1,992,443</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2,620,176</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2,111,332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2,720,239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11"/>
        </w:trPr>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1"/>
        </w:trPr>
        <w:tc>
          <w:tcPr>
            <w:tcW w:w="288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Residential Servicing and</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45"/>
        </w:trPr>
        <w:tc>
          <w:tcPr>
            <w:tcW w:w="2880" w:type="dxa"/>
            <w:vAlign w:val="bottom"/>
            <w:tcBorders>
              <w:bottom w:val="single" w:sz="8" w:color="EAF9E8"/>
            </w:tcBorders>
            <w:shd w:val="clear" w:color="auto" w:fill="EAF9E8"/>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Subservicing Fees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25"/>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servicing and subservicing</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Servicing</w:t>
            </w: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272,661</w:t>
            </w:r>
          </w:p>
        </w:tc>
        <w:tc>
          <w:tcPr>
            <w:tcW w:w="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329,340</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874,208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1,031,756</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2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Subservicing</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30,721</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95,379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44"/>
        </w:trPr>
        <w:tc>
          <w:tcPr>
            <w:tcW w:w="288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287,015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360,061</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947,176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1,127,135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HAMP fees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32,317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37,634</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108,696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110,995</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Late charges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19,041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27,455</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63,194</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96,517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collection fees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8,643</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25,535</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Custodial accounts (float earnings)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1,756</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4,979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25,312</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46,892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69,560</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8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357,439</w:t>
            </w:r>
          </w:p>
        </w:tc>
        <w:tc>
          <w:tcPr>
            <w:tcW w:w="44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460,861</w:t>
            </w:r>
          </w:p>
        </w:tc>
        <w:tc>
          <w:tcPr>
            <w:tcW w:w="112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1,195,512</w:t>
            </w: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1,434,721</w:t>
            </w:r>
          </w:p>
        </w:tc>
        <w:tc>
          <w:tcPr>
            <w:tcW w:w="1140" w:type="dxa"/>
            <w:vAlign w:val="bottom"/>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88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020" w:type="dxa"/>
            <w:vAlign w:val="bottom"/>
            <w:tcBorders>
              <w:top w:val="single" w:sz="8" w:color="EAF9E8"/>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1"/>
        </w:trPr>
        <w:tc>
          <w:tcPr>
            <w:tcW w:w="2880" w:type="dxa"/>
            <w:vAlign w:val="bottom"/>
            <w:shd w:val="clear" w:color="auto" w:fill="EAF9E8"/>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Number of Completed</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45"/>
        </w:trPr>
        <w:tc>
          <w:tcPr>
            <w:tcW w:w="2880" w:type="dxa"/>
            <w:vAlign w:val="bottom"/>
            <w:tcBorders>
              <w:bottom w:val="single" w:sz="8" w:color="EAF9E8"/>
            </w:tcBorders>
            <w:shd w:val="clear" w:color="auto" w:fill="EAF9E8"/>
          </w:tcPr>
          <w:p>
            <w:pPr>
              <w:ind w:left="200"/>
              <w:spacing w:after="0"/>
              <w:rPr>
                <w:sz w:val="20"/>
                <w:szCs w:val="20"/>
                <w:color w:val="auto"/>
              </w:rPr>
            </w:pPr>
            <w:r>
              <w:rPr>
                <w:rFonts w:ascii="Times New Roman" w:cs="Times New Roman" w:eastAsia="Times New Roman" w:hAnsi="Times New Roman"/>
                <w:sz w:val="18"/>
                <w:szCs w:val="18"/>
                <w:b w:val="1"/>
                <w:bCs w:val="1"/>
                <w:color w:val="auto"/>
              </w:rPr>
              <w:t>Modifications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HAMP</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9,790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8,862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31,494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Non-HAMP</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12,681</w:t>
            </w:r>
          </w:p>
        </w:tc>
        <w:tc>
          <w:tcPr>
            <w:tcW w:w="112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34,587</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45,973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r>
      <w:tr>
        <w:trPr>
          <w:trHeight w:val="297"/>
        </w:trPr>
        <w:tc>
          <w:tcPr>
            <w:tcW w:w="288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19,470</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21,543</w:t>
            </w:r>
          </w:p>
        </w:tc>
        <w:tc>
          <w:tcPr>
            <w:tcW w:w="112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67,652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77,467</w:t>
            </w:r>
          </w:p>
        </w:tc>
        <w:tc>
          <w:tcPr>
            <w:tcW w:w="1140" w:type="dxa"/>
            <w:vAlign w:val="bottom"/>
            <w:tcBorders>
              <w:bottom w:val="single" w:sz="8" w:color="EAF9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85"/>
        </w:trPr>
        <w:tc>
          <w:tcPr>
            <w:tcW w:w="2880" w:type="dxa"/>
            <w:vAlign w:val="bottom"/>
            <w:shd w:val="clear" w:color="auto" w:fill="EAF9E8"/>
          </w:tcPr>
          <w:p>
            <w:pPr>
              <w:ind w:left="280"/>
              <w:spacing w:after="0" w:line="185" w:lineRule="exact"/>
              <w:rPr>
                <w:sz w:val="20"/>
                <w:szCs w:val="20"/>
                <w:color w:val="auto"/>
              </w:rPr>
            </w:pPr>
            <w:r>
              <w:rPr>
                <w:rFonts w:ascii="Times New Roman" w:cs="Times New Roman" w:eastAsia="Times New Roman" w:hAnsi="Times New Roman"/>
                <w:sz w:val="18"/>
                <w:szCs w:val="18"/>
                <w:color w:val="auto"/>
              </w:rPr>
              <w:t>% Total with principal</w:t>
            </w:r>
          </w:p>
        </w:tc>
        <w:tc>
          <w:tcPr>
            <w:tcW w:w="340" w:type="dxa"/>
            <w:vAlign w:val="bottom"/>
            <w:shd w:val="clear" w:color="auto" w:fill="EAF9E8"/>
          </w:tcPr>
          <w:p>
            <w:pPr>
              <w:spacing w:after="0"/>
              <w:rPr>
                <w:sz w:val="16"/>
                <w:szCs w:val="16"/>
                <w:color w:val="auto"/>
              </w:rPr>
            </w:pPr>
          </w:p>
        </w:tc>
        <w:tc>
          <w:tcPr>
            <w:tcW w:w="114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340" w:type="dxa"/>
            <w:vAlign w:val="bottom"/>
            <w:shd w:val="clear" w:color="auto" w:fill="EAF9E8"/>
          </w:tcPr>
          <w:p>
            <w:pPr>
              <w:spacing w:after="0"/>
              <w:rPr>
                <w:sz w:val="16"/>
                <w:szCs w:val="16"/>
                <w:color w:val="auto"/>
              </w:rPr>
            </w:pPr>
          </w:p>
        </w:tc>
        <w:tc>
          <w:tcPr>
            <w:tcW w:w="116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102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340" w:type="dxa"/>
            <w:vAlign w:val="bottom"/>
            <w:shd w:val="clear" w:color="auto" w:fill="EAF9E8"/>
          </w:tcPr>
          <w:p>
            <w:pPr>
              <w:spacing w:after="0"/>
              <w:rPr>
                <w:sz w:val="16"/>
                <w:szCs w:val="16"/>
                <w:color w:val="auto"/>
              </w:rPr>
            </w:pPr>
          </w:p>
        </w:tc>
        <w:tc>
          <w:tcPr>
            <w:tcW w:w="116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340" w:type="dxa"/>
            <w:vAlign w:val="bottom"/>
            <w:shd w:val="clear" w:color="auto" w:fill="EAF9E8"/>
          </w:tcPr>
          <w:p>
            <w:pPr>
              <w:spacing w:after="0"/>
              <w:rPr>
                <w:sz w:val="16"/>
                <w:szCs w:val="16"/>
                <w:color w:val="auto"/>
              </w:rPr>
            </w:pPr>
          </w:p>
        </w:tc>
        <w:tc>
          <w:tcPr>
            <w:tcW w:w="116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1020" w:type="dxa"/>
            <w:vAlign w:val="bottom"/>
            <w:shd w:val="clear" w:color="auto" w:fill="EAF9E8"/>
          </w:tcPr>
          <w:p>
            <w:pPr>
              <w:spacing w:after="0"/>
              <w:rPr>
                <w:sz w:val="16"/>
                <w:szCs w:val="16"/>
                <w:color w:val="auto"/>
              </w:rPr>
            </w:pPr>
          </w:p>
        </w:tc>
      </w:tr>
      <w:tr>
        <w:trPr>
          <w:trHeight w:val="241"/>
        </w:trPr>
        <w:tc>
          <w:tcPr>
            <w:tcW w:w="2880" w:type="dxa"/>
            <w:vAlign w:val="bottom"/>
            <w:tcBorders>
              <w:bottom w:val="single" w:sz="8" w:color="EAF9E8"/>
            </w:tcBorders>
            <w:shd w:val="clear" w:color="auto" w:fill="EAF9E8"/>
          </w:tcPr>
          <w:p>
            <w:pPr>
              <w:jc w:val="center"/>
              <w:ind w:right="990"/>
              <w:spacing w:after="0"/>
              <w:rPr>
                <w:sz w:val="20"/>
                <w:szCs w:val="20"/>
                <w:color w:val="auto"/>
              </w:rPr>
            </w:pPr>
            <w:r>
              <w:rPr>
                <w:rFonts w:ascii="Times New Roman" w:cs="Times New Roman" w:eastAsia="Times New Roman" w:hAnsi="Times New Roman"/>
                <w:sz w:val="18"/>
                <w:szCs w:val="18"/>
                <w:color w:val="auto"/>
                <w:w w:val="99"/>
              </w:rPr>
              <w:t>modification</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756"/>
        </w:trPr>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86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Costs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balance of advances and</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match funded advances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2,158,248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3,261,378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2,733,361</w:t>
            </w:r>
          </w:p>
        </w:tc>
        <w:tc>
          <w:tcPr>
            <w:tcW w:w="10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3,352,908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Average borrowings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1,543,036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1,953,463</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1,800,479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2,102,060</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Financing liabilities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745,225</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830,453</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775,568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788,262</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936,750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1,296,691</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1,130,151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1,314,483</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expense on borrowings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15,097</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46,762</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Financing liabilities</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73,931</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88,361</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222,265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281,842</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18,151</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54,184</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Effective average interest rate</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Financing liabilities (4)</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2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86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Facility costs included in interest</w:t>
            </w: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EAF9E8"/>
            </w:tcBorders>
            <w:shd w:val="clear" w:color="auto" w:fill="EAF9E8"/>
          </w:tcPr>
          <w:p>
            <w:pPr>
              <w:ind w:left="340"/>
              <w:spacing w:after="0"/>
              <w:rPr>
                <w:sz w:val="20"/>
                <w:szCs w:val="20"/>
                <w:color w:val="auto"/>
              </w:rPr>
            </w:pPr>
            <w:r>
              <w:rPr>
                <w:rFonts w:ascii="Times New Roman" w:cs="Times New Roman" w:eastAsia="Times New Roman" w:hAnsi="Times New Roman"/>
                <w:sz w:val="18"/>
                <w:szCs w:val="18"/>
                <w:color w:val="auto"/>
              </w:rPr>
              <w:t>expense</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9,489</w:t>
            </w:r>
          </w:p>
        </w:tc>
        <w:tc>
          <w:tcPr>
            <w:tcW w:w="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5,483</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28,949</w:t>
            </w:r>
          </w:p>
        </w:tc>
        <w:tc>
          <w:tcPr>
            <w:tcW w:w="100" w:type="dxa"/>
            <w:vAlign w:val="bottom"/>
            <w:tcBorders>
              <w:bottom w:val="single" w:sz="8" w:color="EAF9E8"/>
            </w:tcBorders>
            <w:shd w:val="clear" w:color="auto" w:fill="EAF9E8"/>
          </w:tcPr>
          <w:p>
            <w:pPr>
              <w:spacing w:after="0"/>
              <w:rPr>
                <w:sz w:val="20"/>
                <w:szCs w:val="20"/>
                <w:color w:val="auto"/>
              </w:rPr>
            </w:pPr>
          </w:p>
        </w:tc>
        <w:tc>
          <w:tcPr>
            <w:tcW w:w="3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14,715</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5"/>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amortization included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331</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661</w:t>
            </w: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Average 1-month LIBOR</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97"/>
        </w:trPr>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Average Employment</w:t>
            </w: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India and other</w:t>
            </w: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6,748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6,276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U. S.</w:t>
            </w: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2,445</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10"/>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2,569</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97"/>
        </w:trPr>
        <w:tc>
          <w:tcPr>
            <w:tcW w:w="286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8,536</w:t>
            </w:r>
          </w:p>
        </w:tc>
        <w:tc>
          <w:tcPr>
            <w:tcW w:w="1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9,193</w:t>
            </w:r>
          </w:p>
        </w:tc>
        <w:tc>
          <w:tcPr>
            <w:tcW w:w="1120" w:type="dxa"/>
            <w:vAlign w:val="bottom"/>
            <w:tcBorders>
              <w:bottom w:val="single" w:sz="8" w:color="EAF9E8"/>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8,901</w:t>
            </w:r>
          </w:p>
        </w:tc>
        <w:tc>
          <w:tcPr>
            <w:tcW w:w="100" w:type="dxa"/>
            <w:vAlign w:val="bottom"/>
            <w:tcBorders>
              <w:bottom w:val="single" w:sz="8" w:color="EAF9E8"/>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8,845</w:t>
            </w:r>
          </w:p>
        </w:tc>
        <w:tc>
          <w:tcPr>
            <w:tcW w:w="1120" w:type="dxa"/>
            <w:vAlign w:val="bottom"/>
            <w:tcBorders>
              <w:bottom w:val="single" w:sz="8" w:color="EAF9E8"/>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4"/>
        </w:trPr>
        <w:tc>
          <w:tcPr>
            <w:tcW w:w="286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10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00" w:type="dxa"/>
            <w:vAlign w:val="bottom"/>
            <w:shd w:val="clear" w:color="auto" w:fill="EAF9E8"/>
          </w:tcPr>
          <w:p>
            <w:pPr>
              <w:spacing w:after="0"/>
              <w:rPr>
                <w:sz w:val="24"/>
                <w:szCs w:val="24"/>
                <w:color w:val="auto"/>
              </w:rPr>
            </w:pPr>
          </w:p>
        </w:tc>
        <w:tc>
          <w:tcPr>
            <w:tcW w:w="120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2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Collections on loans serviced for</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13,954,446</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18,619,457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51,945,571</w:t>
            </w:r>
          </w:p>
        </w:tc>
        <w:tc>
          <w:tcPr>
            <w:tcW w:w="100" w:type="dxa"/>
            <w:vAlign w:val="bottom"/>
          </w:tcPr>
          <w:p>
            <w:pPr>
              <w:spacing w:after="0"/>
              <w:rPr>
                <w:sz w:val="19"/>
                <w:szCs w:val="19"/>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57,446,570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3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00" w:right="80" w:hanging="492"/>
        <w:spacing w:after="0" w:line="261"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ind w:left="500" w:right="620" w:hanging="492"/>
        <w:spacing w:after="0" w:line="250"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660,999 and 729,554 subprime loans with a UPB of $108.4 billion and $123.3 billion at September 30, 2015 and September 30, 2014, respectively.</w:t>
      </w:r>
    </w:p>
    <w:p>
      <w:pPr>
        <w:ind w:left="500" w:right="100" w:hanging="492"/>
        <w:spacing w:after="0" w:line="250"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210,030 and 242,981 prime loans with a UPB of $41.6 billion and $50.7 billion at September 30, 2015 and September 30, 2014, respectively, that we service or subservice.</w:t>
      </w:r>
    </w:p>
    <w:p>
      <w:pPr>
        <w:ind w:left="500" w:right="80" w:hanging="492"/>
        <w:spacing w:after="0" w:line="253"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average interest rate on the financing liability that we recognized in connection with the sales of Rights to MSRs to NRZ is 49.73% and 54.23% for the three months ended September 30, 2015 and 2014, respectively, and 48.55% and 57.70% for the nine months ended September 30, 2015 and 2014, respectively. Interest expense on financing liabilities includes $8.2 million and $8.5 million for the three and nine months ended September 30, 2015, respectively, of fees incurred in connection with our agreement to compensate NRZ for certain increased costs associated with its servicing advance financing facilities that are the direct result of a downgrade of our S&amp;P servicer rating.</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738" w:right="239" w:bottom="1440" w:gutter="0" w:footer="0" w:header="0"/>
        </w:sectPr>
      </w:pPr>
    </w:p>
    <w:bookmarkStart w:id="62" w:name="page63"/>
    <w:bookmarkEnd w:id="62"/>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changes in our portfolio of residential assets 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Amount of UPB</w:t>
            </w:r>
          </w:p>
        </w:tc>
        <w:tc>
          <w:tcPr>
            <w:tcW w:w="196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Count</w:t>
            </w:r>
          </w:p>
        </w:tc>
        <w:tc>
          <w:tcPr>
            <w:tcW w:w="10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January 1</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398,727,727</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464,651,332</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2,486,038</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2,861,918</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2,246,103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4,507,762</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28,972</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Sales (1)</w:t>
            </w:r>
          </w:p>
        </w:tc>
        <w:tc>
          <w:tcPr>
            <w:tcW w:w="30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EAF9E8"/>
            </w:tcBorders>
            <w:gridSpan w:val="3"/>
            <w:shd w:val="clear" w:color="auto" w:fill="EAF9E8"/>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transfers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(3,267,861)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(6,001,718)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(51,907)</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Runoff</w:t>
            </w:r>
          </w:p>
        </w:tc>
        <w:tc>
          <w:tcPr>
            <w:tcW w:w="30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(15,491,967)</w:t>
            </w:r>
          </w:p>
        </w:tc>
        <w:tc>
          <w:tcPr>
            <w:tcW w:w="1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(13,586,780)</w:t>
            </w:r>
          </w:p>
        </w:tc>
        <w:tc>
          <w:tcPr>
            <w:tcW w:w="12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(78,148)</w:t>
            </w:r>
          </w:p>
        </w:tc>
        <w:tc>
          <w:tcPr>
            <w:tcW w:w="12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(75,596)</w:t>
            </w: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March 31</w:t>
            </w: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382,214,002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449,570,596</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2,390,774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2,763,387</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2,340,063</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1,498,220</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12,116</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7,862</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(1)</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(43,692,860)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transfers</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(3,926,601)</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(1,870,009)</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(8,349)</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(15,264,025)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(14,078,959)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(73,793)</w:t>
            </w:r>
          </w:p>
        </w:tc>
      </w:tr>
      <w:tr>
        <w:trPr>
          <w:trHeight w:val="27"/>
        </w:trPr>
        <w:tc>
          <w:tcPr>
            <w:tcW w:w="51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June 30</w:t>
            </w:r>
          </w:p>
        </w:tc>
        <w:tc>
          <w:tcPr>
            <w:tcW w:w="30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321,670,579</w:t>
            </w:r>
          </w:p>
        </w:tc>
        <w:tc>
          <w:tcPr>
            <w:tcW w:w="1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435,119,848</w:t>
            </w:r>
          </w:p>
        </w:tc>
        <w:tc>
          <w:tcPr>
            <w:tcW w:w="12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2,054,254</w:t>
            </w:r>
          </w:p>
        </w:tc>
        <w:tc>
          <w:tcPr>
            <w:tcW w:w="12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2,689,107</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2,035,490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941,003</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5,315</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140" w:type="dxa"/>
            <w:vAlign w:val="bottom"/>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Sales (1)</w:t>
            </w:r>
          </w:p>
        </w:tc>
        <w:tc>
          <w:tcPr>
            <w:tcW w:w="300" w:type="dxa"/>
            <w:vAlign w:val="bottom"/>
            <w:shd w:val="clear" w:color="auto" w:fill="EAF9E8"/>
          </w:tcPr>
          <w:p>
            <w:pPr>
              <w:spacing w:after="0"/>
              <w:rPr>
                <w:sz w:val="21"/>
                <w:szCs w:val="21"/>
                <w:color w:val="auto"/>
              </w:rPr>
            </w:pPr>
          </w:p>
        </w:tc>
        <w:tc>
          <w:tcPr>
            <w:tcW w:w="122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(21,541,112)</w:t>
            </w: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(156,221)</w:t>
            </w:r>
          </w:p>
        </w:tc>
        <w:tc>
          <w:tcPr>
            <w:tcW w:w="120" w:type="dxa"/>
            <w:vAlign w:val="bottom"/>
            <w:shd w:val="clear" w:color="auto" w:fill="EAF9E8"/>
          </w:tcPr>
          <w:p>
            <w:pPr>
              <w:spacing w:after="0"/>
              <w:rPr>
                <w:sz w:val="21"/>
                <w:szCs w:val="21"/>
                <w:color w:val="auto"/>
              </w:rPr>
            </w:pPr>
          </w:p>
        </w:tc>
        <w:tc>
          <w:tcPr>
            <w:tcW w:w="380" w:type="dxa"/>
            <w:vAlign w:val="bottom"/>
            <w:shd w:val="clear" w:color="auto" w:fill="EAF9E8"/>
          </w:tcPr>
          <w:p>
            <w:pPr>
              <w:spacing w:after="0"/>
              <w:rPr>
                <w:sz w:val="21"/>
                <w:szCs w:val="21"/>
                <w:color w:val="auto"/>
              </w:rPr>
            </w:pPr>
          </w:p>
        </w:tc>
        <w:tc>
          <w:tcPr>
            <w:tcW w:w="1080" w:type="dxa"/>
            <w:vAlign w:val="bottom"/>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1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transfers</w:t>
            </w:r>
          </w:p>
        </w:tc>
        <w:tc>
          <w:tcPr>
            <w:tcW w:w="300" w:type="dxa"/>
            <w:vAlign w:val="bottom"/>
            <w:tcBorders>
              <w:bottom w:val="single" w:sz="8" w:color="EAF9E8"/>
            </w:tcBorders>
            <w:shd w:val="clear" w:color="auto" w:fill="EAF9E8"/>
          </w:tcPr>
          <w:p>
            <w:pPr>
              <w:spacing w:after="0"/>
              <w:rPr>
                <w:sz w:val="24"/>
                <w:szCs w:val="24"/>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(1,576,874)</w:t>
            </w:r>
          </w:p>
        </w:tc>
        <w:tc>
          <w:tcPr>
            <w:tcW w:w="120" w:type="dxa"/>
            <w:vAlign w:val="bottom"/>
            <w:tcBorders>
              <w:bottom w:val="single" w:sz="8" w:color="EAF9E8"/>
            </w:tcBorders>
            <w:shd w:val="clear" w:color="auto" w:fill="EAF9E8"/>
          </w:tcPr>
          <w:p>
            <w:pPr>
              <w:spacing w:after="0"/>
              <w:rPr>
                <w:sz w:val="24"/>
                <w:szCs w:val="24"/>
                <w:color w:val="auto"/>
              </w:rPr>
            </w:pPr>
          </w:p>
        </w:tc>
        <w:tc>
          <w:tcPr>
            <w:tcW w:w="280" w:type="dxa"/>
            <w:vAlign w:val="bottom"/>
            <w:tcBorders>
              <w:bottom w:val="single" w:sz="8" w:color="EAF9E8"/>
            </w:tcBorders>
            <w:shd w:val="clear" w:color="auto" w:fill="EAF9E8"/>
          </w:tcPr>
          <w:p>
            <w:pPr>
              <w:spacing w:after="0"/>
              <w:rPr>
                <w:sz w:val="24"/>
                <w:szCs w:val="24"/>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(12,188,206)</w:t>
            </w:r>
          </w:p>
        </w:tc>
        <w:tc>
          <w:tcPr>
            <w:tcW w:w="120" w:type="dxa"/>
            <w:vAlign w:val="bottom"/>
            <w:tcBorders>
              <w:bottom w:val="single" w:sz="8" w:color="EAF9E8"/>
            </w:tcBorders>
            <w:shd w:val="clear" w:color="auto" w:fill="EAF9E8"/>
          </w:tcPr>
          <w:p>
            <w:pPr>
              <w:spacing w:after="0"/>
              <w:rPr>
                <w:sz w:val="24"/>
                <w:szCs w:val="24"/>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20" w:type="dxa"/>
            <w:vAlign w:val="bottom"/>
            <w:tcBorders>
              <w:bottom w:val="single" w:sz="8" w:color="EAF9E8"/>
            </w:tcBorders>
            <w:shd w:val="clear" w:color="auto" w:fill="EAF9E8"/>
          </w:tcPr>
          <w:p>
            <w:pPr>
              <w:spacing w:after="0"/>
              <w:rPr>
                <w:sz w:val="24"/>
                <w:szCs w:val="24"/>
                <w:color w:val="auto"/>
              </w:rPr>
            </w:pPr>
          </w:p>
        </w:tc>
        <w:tc>
          <w:tcPr>
            <w:tcW w:w="380" w:type="dxa"/>
            <w:vAlign w:val="bottom"/>
            <w:tcBorders>
              <w:bottom w:val="single" w:sz="8" w:color="EAF9E8"/>
            </w:tcBorders>
            <w:shd w:val="clear" w:color="auto" w:fill="EAF9E8"/>
          </w:tcPr>
          <w:p>
            <w:pPr>
              <w:spacing w:after="0"/>
              <w:rPr>
                <w:sz w:val="24"/>
                <w:szCs w:val="24"/>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(76,339)</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Runoff</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(12,518,934)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(12,593,031)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(62,343)</w:t>
            </w: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Portfolio at September 30</w:t>
            </w:r>
          </w:p>
        </w:tc>
        <w:tc>
          <w:tcPr>
            <w:tcW w:w="30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288,069,149</w:t>
            </w:r>
          </w:p>
        </w:tc>
        <w:tc>
          <w:tcPr>
            <w:tcW w:w="12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411,279,614</w:t>
            </w:r>
          </w:p>
        </w:tc>
        <w:tc>
          <w:tcPr>
            <w:tcW w:w="120" w:type="dxa"/>
            <w:vAlign w:val="bottom"/>
            <w:tcBorders>
              <w:bottom w:val="single" w:sz="8" w:color="EAF9E8"/>
            </w:tcBorders>
            <w:shd w:val="clear" w:color="auto" w:fill="EAF9E8"/>
          </w:tcPr>
          <w:p>
            <w:pPr>
              <w:spacing w:after="0"/>
              <w:rPr>
                <w:sz w:val="22"/>
                <w:szCs w:val="22"/>
                <w:color w:val="auto"/>
              </w:rPr>
            </w:pPr>
          </w:p>
        </w:tc>
        <w:tc>
          <w:tcPr>
            <w:tcW w:w="14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1,834,945</w:t>
            </w:r>
          </w:p>
        </w:tc>
        <w:tc>
          <w:tcPr>
            <w:tcW w:w="12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spacing w:after="0"/>
              <w:rPr>
                <w:sz w:val="22"/>
                <w:szCs w:val="22"/>
                <w:color w:val="auto"/>
              </w:rPr>
            </w:pP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2,555,740</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right="60" w:hanging="492"/>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sales of Agency MSRs, we continued to subservice the underlying loans until the servicing transfer was completed. See Note 4 — Sales of Advances and MSRs and Note 8 – Mortgage Servicing to the Unaudited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2015 versus 2014</w:t>
      </w:r>
    </w:p>
    <w:p>
      <w:pPr>
        <w:spacing w:after="0" w:line="121"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Total residential Servicing and subservicing fees decreased 22% primarily as a result of a 26% decline in the average UPB of our servicing and subservicing portfolio due to MSR sales, runoff and transfers. Lower loan counts also contributed to declines in fees from borrower payments, as the average number of assets in our portfolio declined by 24%. Likewise, revenue associated with delinquent loan resolution strategies declined with the reduced portfolio as evidenced by the 10% decline in total completed modifications. While overall modifications declined, we are focusing on capitalizing on HAMP modifications, which allows us to balance sufficient revenue streams with improved borrower performance in a modification. Revenue from other streams, such as late fees and SpeedPay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fees, naturally abated with the declining loan counts. Other income for the third quarter of 2015 includes net gains of $41.2 million recognized on the sale of Agency MSRs relating to loans with a UPB of $22.0 billion.</w:t>
      </w:r>
    </w:p>
    <w:p>
      <w:pPr>
        <w:spacing w:after="0" w:line="9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We recognized servicing fee, late fee and HAMP fee revenue of $56.6 million and $64.2 million during the third quarter of 2015 and 2014, respectively, in connection with loan modifications.</w:t>
      </w:r>
    </w:p>
    <w:p>
      <w:pPr>
        <w:spacing w:after="0" w:line="54"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estimate the balance of deferred servicing fees related to delinquent borrower payments was $473.4 million at September 30, 2015 compared to $559.0 million at September 30, 2014. The net decrease is primarily due to collections of loan principal and interest and resolutions of delinquent loans through modification, payoff or other resolution. We are contractually obligated to remit all deferred servicing fees collected in connection with MSRs underlying the sales of Rights to MSRs to NRZ. We are entitled to base servicing and performance fees that increase to the extent we collect deferred servicing fees. As such, the majority of the deferred servicing fees collected are recognized by us as revenue and as a reduction of interest expense related to the NRZ financing liability.</w:t>
      </w:r>
    </w:p>
    <w:p>
      <w:pPr>
        <w:spacing w:after="0" w:line="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Expenses increased slightly by $4.5 million, or 1%, in the third quarter of 2015 as compared to 2014. MSR amortization and valuation adjustments increased by $4.2 million due to an impairment charge of $23.4 million, offset in large part by the effects of MSR sales during 2015. The impairment charge was due to the fair value of our government-insured MSRs declining below carrying value during the third quarter of 2015 as a result of lower interest rates. Integration benefits of $10.0 million and lower technology costs were offset by a $12.6 million increase in indirect costs charged through corporate overhead allocations and a higher provision for indemnification obligations. Integration benefits include the $8.5 million decline in compensation and benefits that reflects a 23% reduction in average U.S. based headcount and a 1% decrease in average India based and other headcount along with a focused approach to reduce overtime and temporary resources consistent with reduced servicing</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688" w:right="259" w:bottom="1440" w:gutter="0" w:footer="0" w:header="0"/>
        </w:sectPr>
      </w:pPr>
    </w:p>
    <w:bookmarkStart w:id="63" w:name="page64"/>
    <w:bookmarkEnd w:id="63"/>
    <w:p>
      <w:pPr>
        <w:ind w:right="80"/>
        <w:spacing w:after="0" w:line="258" w:lineRule="auto"/>
        <w:rPr>
          <w:sz w:val="20"/>
          <w:szCs w:val="20"/>
          <w:color w:val="auto"/>
        </w:rPr>
      </w:pPr>
      <w:r>
        <w:rPr>
          <w:rFonts w:ascii="Times New Roman" w:cs="Times New Roman" w:eastAsia="Times New Roman" w:hAnsi="Times New Roman"/>
          <w:sz w:val="18"/>
          <w:szCs w:val="18"/>
          <w:color w:val="auto"/>
        </w:rPr>
        <w:t>demands of a declining portfolio. We have moved certain operations offshore to take advantage of cost efficiencies as evidenced by the immaterial change in offshore headcount despite the declining portfolio and US headcount. Charge-offs and provisions in connection with non-recoverable advances and receivables increased $3.6 million while servicing-related outsourcing expenses declined $5.0 million as cost improvement strategies aimed at maximizing vendor relationships and internalizing outsourced functions took effect. We are continuing to review the efficiency of the servicing operations to take advantage of additional cost improvement strategies aimed at increasing operating margins and improving borrower experience.</w:t>
      </w:r>
    </w:p>
    <w:p>
      <w:pPr>
        <w:spacing w:after="0" w:line="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Interest expense declined by $14.7 million, or 12%, in the third quarter of 2015 due principally to a $21.6 million decrease in interest on the NRZ financing liabilities, as the average outstanding balance declined by 8%, and a $4.6 million decrease in interest on the SSTL as a result of prepayments of $561.6 million during the first three quarters of 2015. These decreases were partly offset by additional financing fees paid in connection with renewing and modifying our servicing advance financing facilities and by $8.2 million incurred pursuant to our agreement with NRZ in connection with downgrades to our S&amp;P servicer rating. Pursuant our agreement with NRZ, we will make additional future payments in connection with these S&amp;P actions that are currently anticipated to be in the range of $1.5 million to $1.9 million per month through May 2016 (and $1.0 million for June 2016). Actual future payments will vary based on NRZ’s outstanding borrowings and movements in applicable floating interest rates.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2015 versus 2014</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Total residential Servicing and subservicing fees decreased by 17% primarily as a result of the decline in the UPB of our servicing and subservicing portfolio. MSR sales were the key driver of a 24% decline in the average UPB of our portfolio, and a 25% decline in total completed modifications. Runoff and transfers also contributed to the decline in UPB. Other income for the first nine months of 2015 includes net gains of $98.0 million recognized on the sale of Agency MSRs relating to loans with a UPB of $87.6 billion.</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Expenses increased $20.8 million, or 2%, in the first nine months of 2015 as compared to 2014. The increase is attributable primarily to higher direct and indirect (through corporate overhead allocations) professional services expenses of $32.6 million and $62.3 million, respectively, in connection with litigation, regulatory monitoring and compliance costs and investments in internal risk and compliance resources. Offsetting these increases are lower MSR related valuation impacts of $12.2 million as a result of MSR sales and integration benefits of $70.1 million. Integration related benefits include a $25.9 million decline in compensation and benefits upon finalizing our platform integration activities that reduced the average U.S. based headcount by 21%, offset in part by a 9% increase in average India based and other headcount. Included in the increase in offshore headcount is the migration of certain operations offshore where we can realize cost efficiencies while maintaining operational effectiveness. Charge-offs and provisions in connection with non-recoverable advances and receivables decreased $24.3 million and servicing-related outsourcing expenses declined $19.9 million.</w:t>
      </w:r>
    </w:p>
    <w:p>
      <w:pPr>
        <w:spacing w:after="0" w:line="18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Interest expense decreased by $55.0 million, or 14%, in the nine months ended September 30, 2015 as compared to the nine months ended September 30, 2014 with $67.5 million attributable to a decrease in the average balance of the NRZ financing liability and a $7.0 million decrease in interest on the SSTL as a result of $561.6 million of prepayments during 2015. These decreases in interest expense were partly offset by additional debt issuance costs resulting from amendments to the SSTL in 2015 and the accelerated recognition of deferred debt issuance costs resulting from prepayments of the SSTL in 2015. Also, interest expense for the nine months ended September 30, 2015 includes additional financing fees paid in connection with renewing and modifying our advance financing facilities and $8.5 million incurred pursuant to our agreement with NRZ in connection with downgrades to our S&amp;P servicer rating.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Lending</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originate and purchase conventional and government-insured forward mortgage loans through our Homeward forward lending operations. Loans are acquired through three primary channels: correspondent lender relationships, broker relationships and directly with mortgage customers. Per-loan gross and net margins varies by channel, with correspondent typically being the lowest and direct the highest. After origination, we package and sell the loans in the secondary mortgage market, through GSE securitizations and whole loan transactions. We typically retain the associated MSRs, as we view this as a low cost means to acquire MSRs with good return profiles. Lending revenues include interest income earned for the period the loans are held by us, gain on sale revenue which represents the difference between the origination value and the sale value of the loan, and fee income earned at origination.</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Reverse mortgages are originated and purchased through our Liberty reverse lending operations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 We have originated variable rate HECM loans under which the borrowers have additional borrowing capacity of $861.2 million at September 30, 2015. These draws are funded by the servicer and can be subsequently securitized or sold (Future Value). We do not incur any substantive underwriting, marketing or compensation costs in connection with these future draws. We recognize this Future Value over time as future draws are securitized or sold. At</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688" w:right="279" w:bottom="1440" w:gutter="0" w:footer="0" w:header="0"/>
        </w:sectPr>
      </w:pPr>
    </w:p>
    <w:bookmarkStart w:id="64" w:name="page65"/>
    <w:bookmarkEnd w:id="64"/>
    <w:p>
      <w:pPr>
        <w:ind w:right="180"/>
        <w:spacing w:after="0" w:line="266" w:lineRule="auto"/>
        <w:rPr>
          <w:sz w:val="20"/>
          <w:szCs w:val="20"/>
          <w:color w:val="auto"/>
        </w:rPr>
      </w:pPr>
      <w:r>
        <w:rPr>
          <w:rFonts w:ascii="Times New Roman" w:cs="Times New Roman" w:eastAsia="Times New Roman" w:hAnsi="Times New Roman"/>
          <w:sz w:val="18"/>
          <w:szCs w:val="18"/>
          <w:color w:val="auto"/>
        </w:rPr>
        <w:t>September 30, 2015, Future Value is estimated to be $62.4 million. We use a third-party valuation expert to determine Future Value based on the net present value of the estimated future cash flows of the loans and utilizing a discount rate of 12% and projected performance assumptions in line with historical experience and industry benchmarks.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UPB of our loan production, by channel,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Correspondent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34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2015</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622,678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343,079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1,116,267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Reverse loans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83,979</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83,359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31,189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198,527</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706,657</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426,438</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181,699</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1,314,794</w:t>
            </w:r>
          </w:p>
        </w:tc>
      </w:tr>
      <w:tr>
        <w:trPr>
          <w:trHeight w:val="311"/>
        </w:trPr>
        <w:tc>
          <w:tcPr>
            <w:tcW w:w="47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2015</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Forward loans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1,507,270</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993,485</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616,363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3,117,118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Reverse loans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218,432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636,353</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1,725,702</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1,289,919</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737,850</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3,753,471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6"/>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2014</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572,472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242,221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267,814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1,082,507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Reverse loans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46,138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79,823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42,050</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168,011</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618,610</w:t>
            </w:r>
          </w:p>
        </w:tc>
        <w:tc>
          <w:tcPr>
            <w:tcW w:w="10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322,044</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309,864</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1,250,518</w:t>
            </w:r>
          </w:p>
        </w:tc>
      </w:tr>
      <w:tr>
        <w:trPr>
          <w:trHeight w:val="311"/>
        </w:trPr>
        <w:tc>
          <w:tcPr>
            <w:tcW w:w="47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260" w:type="dxa"/>
            <w:vAlign w:val="bottom"/>
            <w:shd w:val="clear" w:color="auto" w:fill="EAF9E8"/>
          </w:tcPr>
          <w:p>
            <w:pPr>
              <w:spacing w:after="0"/>
              <w:rPr>
                <w:sz w:val="24"/>
                <w:szCs w:val="24"/>
                <w:color w:val="auto"/>
              </w:rPr>
            </w:pPr>
          </w:p>
        </w:tc>
        <w:tc>
          <w:tcPr>
            <w:tcW w:w="13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2014</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Forward loans</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1,895,599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623,386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867,801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3,386,786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Reverse loans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476,329</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2,025,667</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851,227</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986,221</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3,863,115</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5" w:name="page66"/>
    <w:bookmarkEnd w:id="65"/>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of the Lending segment for the three and nine months ended September 30. The amounts presented are before the elimination of balances and transactions with our other segments: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34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Forward loans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16,078</w:t>
            </w:r>
          </w:p>
        </w:tc>
        <w:tc>
          <w:tcPr>
            <w:tcW w:w="4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10,022</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56,297</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42,970</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3"/>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Reverse loans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7,258</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19,271</w:t>
            </w: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34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44"/>
        </w:trPr>
        <w:tc>
          <w:tcPr>
            <w:tcW w:w="344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23,070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17,280</w:t>
            </w:r>
          </w:p>
        </w:tc>
        <w:tc>
          <w:tcPr>
            <w:tcW w:w="11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82,500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62,241</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9,597</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24,570</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4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29,662</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26,877</w:t>
            </w:r>
          </w:p>
        </w:tc>
        <w:tc>
          <w:tcPr>
            <w:tcW w:w="11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106,721</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86,811</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r>
      <w:tr>
        <w:trPr>
          <w:trHeight w:val="264"/>
        </w:trPr>
        <w:tc>
          <w:tcPr>
            <w:tcW w:w="34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34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11,761</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44,314</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120" w:type="dxa"/>
            <w:vAlign w:val="bottom"/>
            <w:tcBorders>
              <w:bottom w:val="single" w:sz="8" w:color="EAF9E8"/>
            </w:tcBorders>
            <w:gridSpan w:val="2"/>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613</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2,519</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11,154</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3,834</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3,412</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1,165</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3,167</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1,167</w:t>
            </w:r>
          </w:p>
        </w:tc>
        <w:tc>
          <w:tcPr>
            <w:tcW w:w="11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3,873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3,558</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4,926</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15,043</w:t>
            </w: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34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64"/>
        </w:trPr>
        <w:tc>
          <w:tcPr>
            <w:tcW w:w="344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23,126</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22,632</w:t>
            </w:r>
          </w:p>
        </w:tc>
        <w:tc>
          <w:tcPr>
            <w:tcW w:w="11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73,497</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81,261</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91"/>
        </w:trPr>
        <w:tc>
          <w:tcPr>
            <w:tcW w:w="3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34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4,825</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13,117</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120" w:type="dxa"/>
            <w:vAlign w:val="bottom"/>
            <w:tcBorders>
              <w:bottom w:val="single" w:sz="8" w:color="EAF9E8"/>
            </w:tcBorders>
            <w:gridSpan w:val="2"/>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1140" w:type="dxa"/>
            <w:vAlign w:val="bottom"/>
            <w:tcBorders>
              <w:bottom w:val="single" w:sz="8" w:color="EAF9E8"/>
            </w:tcBorders>
            <w:gridSpan w:val="2"/>
            <w:shd w:val="clear" w:color="auto" w:fill="EAF9E8"/>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debt redemption</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2,609</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12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1,237</w:t>
            </w:r>
          </w:p>
        </w:tc>
        <w:tc>
          <w:tcPr>
            <w:tcW w:w="11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3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2,363</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8,692</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344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10"/>
        </w:trPr>
        <w:tc>
          <w:tcPr>
            <w:tcW w:w="34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304"/>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6,608</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39,017</w:t>
            </w: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14,242</w:t>
            </w: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3440" w:type="dxa"/>
            <w:vAlign w:val="bottom"/>
            <w:tcBorders>
              <w:top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300" w:type="dxa"/>
            <w:vAlign w:val="bottom"/>
            <w:tcBorders>
              <w:top w:val="single" w:sz="8" w:color="auto"/>
            </w:tcBorders>
            <w:shd w:val="clear" w:color="auto" w:fill="EAF9E8"/>
          </w:tcPr>
          <w:p>
            <w:pPr>
              <w:spacing w:after="0"/>
              <w:rPr>
                <w:sz w:val="20"/>
                <w:szCs w:val="20"/>
                <w:color w:val="auto"/>
              </w:rPr>
            </w:pPr>
          </w:p>
        </w:tc>
        <w:tc>
          <w:tcPr>
            <w:tcW w:w="1040" w:type="dxa"/>
            <w:vAlign w:val="bottom"/>
            <w:tcBorders>
              <w:top w:val="single" w:sz="8" w:color="auto"/>
            </w:tcBorders>
            <w:shd w:val="clear" w:color="auto" w:fill="EAF9E8"/>
          </w:tcPr>
          <w:p>
            <w:pPr>
              <w:spacing w:after="0"/>
              <w:rPr>
                <w:sz w:val="20"/>
                <w:szCs w:val="20"/>
                <w:color w:val="auto"/>
              </w:rPr>
            </w:pPr>
          </w:p>
        </w:tc>
        <w:tc>
          <w:tcPr>
            <w:tcW w:w="100" w:type="dxa"/>
            <w:vAlign w:val="bottom"/>
            <w:tcBorders>
              <w:top w:val="single" w:sz="8" w:color="EAF9E8"/>
            </w:tcBorders>
            <w:shd w:val="clear" w:color="auto" w:fill="EAF9E8"/>
          </w:tcPr>
          <w:p>
            <w:pPr>
              <w:spacing w:after="0"/>
              <w:rPr>
                <w:sz w:val="20"/>
                <w:szCs w:val="20"/>
                <w:color w:val="auto"/>
              </w:rPr>
            </w:pPr>
          </w:p>
        </w:tc>
        <w:tc>
          <w:tcPr>
            <w:tcW w:w="300" w:type="dxa"/>
            <w:vAlign w:val="bottom"/>
            <w:tcBorders>
              <w:top w:val="single" w:sz="8" w:color="auto"/>
            </w:tcBorders>
            <w:shd w:val="clear" w:color="auto" w:fill="EAF9E8"/>
          </w:tcPr>
          <w:p>
            <w:pPr>
              <w:spacing w:after="0"/>
              <w:rPr>
                <w:sz w:val="20"/>
                <w:szCs w:val="20"/>
                <w:color w:val="auto"/>
              </w:rPr>
            </w:pPr>
          </w:p>
        </w:tc>
        <w:tc>
          <w:tcPr>
            <w:tcW w:w="1060" w:type="dxa"/>
            <w:vAlign w:val="bottom"/>
            <w:tcBorders>
              <w:top w:val="single" w:sz="8" w:color="auto"/>
            </w:tcBorders>
            <w:shd w:val="clear" w:color="auto" w:fill="EAF9E8"/>
          </w:tcPr>
          <w:p>
            <w:pPr>
              <w:spacing w:after="0"/>
              <w:rPr>
                <w:sz w:val="20"/>
                <w:szCs w:val="20"/>
                <w:color w:val="auto"/>
              </w:rPr>
            </w:pPr>
          </w:p>
        </w:tc>
        <w:tc>
          <w:tcPr>
            <w:tcW w:w="100" w:type="dxa"/>
            <w:vAlign w:val="bottom"/>
            <w:tcBorders>
              <w:top w:val="single" w:sz="8" w:color="EAF9E8"/>
            </w:tcBorders>
            <w:shd w:val="clear" w:color="auto" w:fill="EAF9E8"/>
          </w:tcPr>
          <w:p>
            <w:pPr>
              <w:spacing w:after="0"/>
              <w:rPr>
                <w:sz w:val="20"/>
                <w:szCs w:val="20"/>
                <w:color w:val="auto"/>
              </w:rPr>
            </w:pPr>
          </w:p>
        </w:tc>
        <w:tc>
          <w:tcPr>
            <w:tcW w:w="1020" w:type="dxa"/>
            <w:vAlign w:val="bottom"/>
            <w:tcBorders>
              <w:top w:val="single" w:sz="8" w:color="EAF9E8"/>
            </w:tcBorders>
            <w:shd w:val="clear" w:color="auto" w:fill="EAF9E8"/>
          </w:tcPr>
          <w:p>
            <w:pPr>
              <w:spacing w:after="0"/>
              <w:rPr>
                <w:sz w:val="20"/>
                <w:szCs w:val="20"/>
                <w:color w:val="auto"/>
              </w:rPr>
            </w:pPr>
          </w:p>
        </w:tc>
        <w:tc>
          <w:tcPr>
            <w:tcW w:w="120" w:type="dxa"/>
            <w:vAlign w:val="bottom"/>
            <w:tcBorders>
              <w:top w:val="single" w:sz="8" w:color="EAF9E8"/>
            </w:tcBorders>
            <w:shd w:val="clear" w:color="auto" w:fill="EAF9E8"/>
          </w:tcPr>
          <w:p>
            <w:pPr>
              <w:spacing w:after="0"/>
              <w:rPr>
                <w:sz w:val="20"/>
                <w:szCs w:val="20"/>
                <w:color w:val="auto"/>
              </w:rPr>
            </w:pPr>
          </w:p>
        </w:tc>
        <w:tc>
          <w:tcPr>
            <w:tcW w:w="300" w:type="dxa"/>
            <w:vAlign w:val="bottom"/>
            <w:tcBorders>
              <w:top w:val="single" w:sz="8" w:color="auto"/>
            </w:tcBorders>
            <w:shd w:val="clear" w:color="auto" w:fill="EAF9E8"/>
          </w:tcPr>
          <w:p>
            <w:pPr>
              <w:spacing w:after="0"/>
              <w:rPr>
                <w:sz w:val="20"/>
                <w:szCs w:val="20"/>
                <w:color w:val="auto"/>
              </w:rPr>
            </w:pPr>
          </w:p>
        </w:tc>
        <w:tc>
          <w:tcPr>
            <w:tcW w:w="1040" w:type="dxa"/>
            <w:vAlign w:val="bottom"/>
            <w:tcBorders>
              <w:top w:val="single" w:sz="8" w:color="auto"/>
            </w:tcBorders>
            <w:shd w:val="clear" w:color="auto" w:fill="EAF9E8"/>
          </w:tcPr>
          <w:p>
            <w:pPr>
              <w:spacing w:after="0"/>
              <w:rPr>
                <w:sz w:val="20"/>
                <w:szCs w:val="20"/>
                <w:color w:val="auto"/>
              </w:rPr>
            </w:pPr>
          </w:p>
        </w:tc>
        <w:tc>
          <w:tcPr>
            <w:tcW w:w="120" w:type="dxa"/>
            <w:vAlign w:val="bottom"/>
            <w:tcBorders>
              <w:top w:val="single" w:sz="8" w:color="EAF9E8"/>
            </w:tcBorders>
            <w:shd w:val="clear" w:color="auto" w:fill="EAF9E8"/>
          </w:tcPr>
          <w:p>
            <w:pPr>
              <w:spacing w:after="0"/>
              <w:rPr>
                <w:sz w:val="20"/>
                <w:szCs w:val="20"/>
                <w:color w:val="auto"/>
              </w:rPr>
            </w:pPr>
          </w:p>
        </w:tc>
        <w:tc>
          <w:tcPr>
            <w:tcW w:w="300" w:type="dxa"/>
            <w:vAlign w:val="bottom"/>
            <w:tcBorders>
              <w:top w:val="single" w:sz="8" w:color="auto"/>
            </w:tcBorders>
            <w:shd w:val="clear" w:color="auto" w:fill="EAF9E8"/>
          </w:tcPr>
          <w:p>
            <w:pPr>
              <w:spacing w:after="0"/>
              <w:rPr>
                <w:sz w:val="20"/>
                <w:szCs w:val="20"/>
                <w:color w:val="auto"/>
              </w:rPr>
            </w:pPr>
          </w:p>
        </w:tc>
        <w:tc>
          <w:tcPr>
            <w:tcW w:w="1040" w:type="dxa"/>
            <w:vAlign w:val="bottom"/>
            <w:tcBorders>
              <w:top w:val="single" w:sz="8" w:color="auto"/>
            </w:tcBorders>
            <w:shd w:val="clear" w:color="auto" w:fill="EAF9E8"/>
          </w:tcPr>
          <w:p>
            <w:pPr>
              <w:spacing w:after="0"/>
              <w:rPr>
                <w:sz w:val="20"/>
                <w:szCs w:val="20"/>
                <w:color w:val="auto"/>
              </w:rPr>
            </w:pPr>
          </w:p>
        </w:tc>
        <w:tc>
          <w:tcPr>
            <w:tcW w:w="120" w:type="dxa"/>
            <w:vAlign w:val="bottom"/>
            <w:tcBorders>
              <w:top w:val="single" w:sz="8" w:color="EAF9E8"/>
            </w:tcBorders>
            <w:shd w:val="clear" w:color="auto" w:fill="EAF9E8"/>
          </w:tcPr>
          <w:p>
            <w:pPr>
              <w:spacing w:after="0"/>
              <w:rPr>
                <w:sz w:val="20"/>
                <w:szCs w:val="20"/>
                <w:color w:val="auto"/>
              </w:rPr>
            </w:pPr>
          </w:p>
        </w:tc>
        <w:tc>
          <w:tcPr>
            <w:tcW w:w="1020" w:type="dxa"/>
            <w:vAlign w:val="bottom"/>
            <w:tcBorders>
              <w:top w:val="single" w:sz="8" w:color="EAF9E8"/>
            </w:tcBorders>
            <w:shd w:val="clear" w:color="auto" w:fill="EAF9E8"/>
          </w:tcPr>
          <w:p>
            <w:pPr>
              <w:spacing w:after="0"/>
              <w:rPr>
                <w:sz w:val="20"/>
                <w:szCs w:val="20"/>
                <w:color w:val="auto"/>
              </w:rPr>
            </w:pPr>
          </w:p>
        </w:tc>
      </w:tr>
      <w:tr>
        <w:trPr>
          <w:trHeight w:val="27"/>
        </w:trPr>
        <w:tc>
          <w:tcPr>
            <w:tcW w:w="344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0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2015 versus 2014</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the third quarter of 2015, Homeward forward lending revenues increased by $4.6 million, or 32%, from third quarter of 2014 levels to a total of $19.2 million. Total forward mortgage originations increased to $1.1 billion, which was $33.8 million, or 3%, higher than originations in the third quarter of 2014. Forward lending operations, in the third quarter of 2015, generated $9.0 million of pre-tax income, an increase of $3.4 million, or 59%, from third quarter of 2014 earnings. This improvement occurred due to the effect of higher margin rates in the direct and correspondent channels that was partially offset by a volume decline in the direct channel. Forward lending expenses of $11.7 million represented an increase of $0.5 million, or 5%, from third quarter of 2014, principally because of an increase in compensation and benefit expenses that was partially offset by a decline in professional services.</w:t>
      </w:r>
    </w:p>
    <w:p>
      <w:pPr>
        <w:spacing w:after="0" w:line="18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the third quarter of 2015, Liberty reverse lending revenues of $10.5 million declined by $1.9 million, or 15%, and funded reverse mortgage volume of $198.5 million increased $30.5 million, or 18%, from the third quarter of 2014. Reverse lending operations incurred a pre-tax loss of $0.5 million as compared to pre-tax earnings of $0.9 million in the third quarter of 2014. The decline in reverse lending earnings was primarily due to lower revenue and flat expenses. Lower revenue was the result of lower margin rates in all three channels and lower volume in the higher yielding direct channel. These reductions were partially offset by a volume increase in the wholesale and correspondent channels. The HECM program changes instituted by HUD in 2013 resulted in the reverse mortgage market shifting from one that consisted primarily of fixed rate products to one where variable rate products predominated, which resulted in a consequent decrease in volumes and a lower loan size at origination for the industry and for Liberty. The lower day one loan size in turn resulted in a lower gain on sale when the loans were securitized. Over time, however, the loan balances on many of these variable rate loans will increase through subsequent</w:t>
      </w:r>
    </w:p>
    <w:p>
      <w:pPr>
        <w:sectPr>
          <w:pgSz w:w="11900" w:h="16838" w:orient="portrait"/>
          <w:cols w:equalWidth="0" w:num="1">
            <w:col w:w="11420"/>
          </w:cols>
          <w:pgMar w:left="240" w:top="688"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688" w:right="2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draws by the borrowers. As these additional draws are securitized, we will recognize additional gain on sale at a minimal incremental cost.</w:t>
      </w:r>
    </w:p>
    <w:p>
      <w:pPr>
        <w:spacing w:after="0" w:line="22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Expenses related to the Homeward and Liberty platforms are driven largely by production volume, with direct acquisition costs offset by origination fee income that is included in Other revenue.</w:t>
      </w:r>
    </w:p>
    <w:p>
      <w:pPr>
        <w:spacing w:after="0" w:line="162"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Interest income consists primarily of interest earned on newly originated and purchased loans prior to sale to investors. Interest income is offset by interest expense incurred to finance the mortgage loans. We finance originated and purchased forward and reverse mortgage loans with repurchase and participation agreements, commonly referred to as warehouse lines. The decline in interest income and expense in 2015 is principally driven by our operational decision to accelerate the turnover of loans originated in forward lending.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2015 versus 2014</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2015, the Homeward forward lending operations generated $36.7 million of pre-tax income on revenues of $67.3 million. This compares to $21.3 million of pre-tax income on revenues of $57.0 million for the nine months ended September 30, 2014. Forward mortgage originations for the nine months ended September 30, 2015 and 2014 were $3.1 billion and $3.4 billion, respectively. Forward lending results improved due to a $10.3 million increase in revenue, a $4.0 million decrease in other income, and a $9.1 million decrease in expenses. The increase in revenue is due to the effect of higher margin rates across all three channels and higher volume in the wholesale channel; this was partially offset by volume declines in the direct and correspondent channels. The decrease in expenses is principally due to lower compensation and benefits related to lower headcount and lower servicing and origination expense that are a result of lower volume and improved cost containment efforts.</w:t>
      </w:r>
    </w:p>
    <w:p>
      <w:pPr>
        <w:spacing w:after="0" w:line="8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decrease in other income is principally attributable to $2.6 million of gains on debt redemption recognized in 2014; no such gains were recognized in 2015. As part of forward lending, we have, from time to time, sold – to an unrelated third party – MSRs for certain forward loans that may qualify for refinancing under the HARP program. We account for these transactions as secured financings. Upon repurchase of the MSRs related to those loans that were successfully refinanced, we recognize gains on the retirement of the related financing liabilities. Retirements of such financing liabilities during the nine months ended September 30, 2014, generated $2.6 million of such gains.</w:t>
      </w:r>
    </w:p>
    <w:p>
      <w:pPr>
        <w:spacing w:after="0" w:line="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2015, Liberty generated pre-tax income of $2.3 million on revenues of $39.5 million and a 34% increase in total funded reverse mortgage volume to $636.4 million. This compares to a pre-tax loss of $7.1 million on revenues of $29.8 million and reverse mortgage originations of $476.3 million for the nine months ended September 30, 2014. Results for the nine months ended September 30, 2014 were negatively impacted by HUD’s changes to the HECM program in 2013. Results have improved in 2015 principally as a result of higher revenue. The revenue increase was due to higher margin rates in all channels and higher funded volume, predominantly in the wholesale and correspondent channels.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Items and Other</w:t>
      </w:r>
    </w:p>
    <w:p>
      <w:pPr>
        <w:spacing w:after="0" w:line="12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Corporate Items and Other includes revenues and expenses that are not directly related to other reportable segments, business activities that are individually insignificant, interest income on short-term investments of cash, interest expense on unsecured corporate debt and certain corporate expenses. Our cash balances are included in Corporate Items and Other.</w:t>
      </w:r>
    </w:p>
    <w:p>
      <w:pPr>
        <w:spacing w:after="0" w:line="6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Business activities that are not considered to be of continuing significance include subprime non-Agency loans held for sale (at lower of cost or fair value), investments in mortgage-backed securities and affordable housing investment activities.</w:t>
      </w:r>
    </w:p>
    <w:p>
      <w:pPr>
        <w:spacing w:after="0" w:line="54"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Portions of interest income and interest expense are allocated to the Servicing and Lending segments, including interest earned on cash balances and short-term investments and interest incurred on corporate debt. Expenses incurred by corporate support services are also allocated to the Servicing and Lending segments.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688" w:right="259" w:bottom="1440" w:gutter="0" w:footer="0" w:header="0"/>
        </w:sectPr>
      </w:pPr>
    </w:p>
    <w:bookmarkStart w:id="67" w:name="page68"/>
    <w:bookmarkEnd w:id="67"/>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results of operations of Corporate Items and Other for the three and nine months ended September 30. The amounts presented are before the elimination of balances and transactions with our other segments: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4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23"/>
        </w:trPr>
        <w:tc>
          <w:tcPr>
            <w:tcW w:w="34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33,112</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22,651</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92,680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65,024</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MSRs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9,132</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25,441</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30,623</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122,610</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97,230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149,317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2,111</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9,066</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2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16,014</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3,789</w:t>
            </w:r>
          </w:p>
        </w:tc>
        <w:tc>
          <w:tcPr>
            <w:tcW w:w="11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27,359</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12,467</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119</w:t>
            </w:r>
          </w:p>
        </w:tc>
      </w:tr>
      <w:tr>
        <w:trPr>
          <w:trHeight w:val="205"/>
        </w:trPr>
        <w:tc>
          <w:tcPr>
            <w:tcW w:w="3420" w:type="dxa"/>
            <w:vAlign w:val="bottom"/>
          </w:tcPr>
          <w:p>
            <w:pPr>
              <w:ind w:left="280"/>
              <w:spacing w:after="0" w:line="205" w:lineRule="exact"/>
              <w:rPr>
                <w:sz w:val="20"/>
                <w:szCs w:val="20"/>
                <w:color w:val="auto"/>
              </w:rPr>
            </w:pPr>
            <w:r>
              <w:rPr>
                <w:rFonts w:ascii="Times New Roman" w:cs="Times New Roman" w:eastAsia="Times New Roman" w:hAnsi="Times New Roman"/>
                <w:sz w:val="18"/>
                <w:szCs w:val="18"/>
                <w:color w:val="auto"/>
              </w:rPr>
              <w:t>Total expenses before corporate overhead</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3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allocations</w:t>
            </w: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160,419</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280,041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261,422</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2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3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Servicing segment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(40,912)</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(109,565)</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3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20" w:type="dxa"/>
            <w:vAlign w:val="bottom"/>
            <w:tcBorders>
              <w:bottom w:val="single" w:sz="8" w:color="EAF9E8"/>
            </w:tcBorders>
            <w:shd w:val="clear" w:color="auto" w:fill="EAF9E8"/>
          </w:tcPr>
          <w:p>
            <w:pPr>
              <w:ind w:left="380"/>
              <w:spacing w:after="0"/>
              <w:rPr>
                <w:sz w:val="20"/>
                <w:szCs w:val="20"/>
                <w:color w:val="auto"/>
              </w:rPr>
            </w:pPr>
            <w:r>
              <w:rPr>
                <w:rFonts w:ascii="Times New Roman" w:cs="Times New Roman" w:eastAsia="Times New Roman" w:hAnsi="Times New Roman"/>
                <w:sz w:val="18"/>
                <w:szCs w:val="18"/>
                <w:color w:val="auto"/>
              </w:rPr>
              <w:t>Lending segment</w:t>
            </w:r>
          </w:p>
        </w:tc>
        <w:tc>
          <w:tcPr>
            <w:tcW w:w="30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1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37"/>
        </w:trPr>
        <w:tc>
          <w:tcPr>
            <w:tcW w:w="3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46,161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118,482</w:t>
            </w: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104,133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148,555</w:t>
            </w: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4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0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7"/>
        </w:trPr>
        <w:tc>
          <w:tcPr>
            <w:tcW w:w="34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23"/>
        </w:trPr>
        <w:tc>
          <w:tcPr>
            <w:tcW w:w="34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30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(118,164)</w:t>
            </w:r>
          </w:p>
        </w:tc>
        <w:tc>
          <w:tcPr>
            <w:tcW w:w="10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420" w:type="dxa"/>
            <w:vAlign w:val="bottom"/>
            <w:tcBorders>
              <w:top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n/m: not meaningful</w:t>
            </w:r>
          </w:p>
        </w:tc>
        <w:tc>
          <w:tcPr>
            <w:tcW w:w="300" w:type="dxa"/>
            <w:vAlign w:val="bottom"/>
            <w:tcBorders>
              <w:top w:val="single" w:sz="8" w:color="auto"/>
            </w:tcBorders>
            <w:shd w:val="clear" w:color="auto" w:fill="EAF9E8"/>
          </w:tcPr>
          <w:p>
            <w:pPr>
              <w:spacing w:after="0"/>
              <w:rPr>
                <w:sz w:val="20"/>
                <w:szCs w:val="20"/>
                <w:color w:val="auto"/>
              </w:rPr>
            </w:pPr>
          </w:p>
        </w:tc>
        <w:tc>
          <w:tcPr>
            <w:tcW w:w="1020" w:type="dxa"/>
            <w:vAlign w:val="bottom"/>
            <w:tcBorders>
              <w:top w:val="single" w:sz="8" w:color="auto"/>
            </w:tcBorders>
            <w:shd w:val="clear" w:color="auto" w:fill="EAF9E8"/>
          </w:tcPr>
          <w:p>
            <w:pPr>
              <w:spacing w:after="0"/>
              <w:rPr>
                <w:sz w:val="20"/>
                <w:szCs w:val="20"/>
                <w:color w:val="auto"/>
              </w:rPr>
            </w:pPr>
          </w:p>
        </w:tc>
        <w:tc>
          <w:tcPr>
            <w:tcW w:w="120" w:type="dxa"/>
            <w:vAlign w:val="bottom"/>
            <w:tcBorders>
              <w:top w:val="single" w:sz="8" w:color="EAF9E8"/>
            </w:tcBorders>
            <w:shd w:val="clear" w:color="auto" w:fill="EAF9E8"/>
          </w:tcPr>
          <w:p>
            <w:pPr>
              <w:spacing w:after="0"/>
              <w:rPr>
                <w:sz w:val="20"/>
                <w:szCs w:val="20"/>
                <w:color w:val="auto"/>
              </w:rPr>
            </w:pPr>
          </w:p>
        </w:tc>
        <w:tc>
          <w:tcPr>
            <w:tcW w:w="300" w:type="dxa"/>
            <w:vAlign w:val="bottom"/>
            <w:tcBorders>
              <w:top w:val="single" w:sz="8" w:color="auto"/>
            </w:tcBorders>
            <w:shd w:val="clear" w:color="auto" w:fill="EAF9E8"/>
          </w:tcPr>
          <w:p>
            <w:pPr>
              <w:spacing w:after="0"/>
              <w:rPr>
                <w:sz w:val="20"/>
                <w:szCs w:val="20"/>
                <w:color w:val="auto"/>
              </w:rPr>
            </w:pPr>
          </w:p>
        </w:tc>
        <w:tc>
          <w:tcPr>
            <w:tcW w:w="1040" w:type="dxa"/>
            <w:vAlign w:val="bottom"/>
            <w:tcBorders>
              <w:top w:val="single" w:sz="8" w:color="auto"/>
            </w:tcBorders>
            <w:shd w:val="clear" w:color="auto" w:fill="EAF9E8"/>
          </w:tcPr>
          <w:p>
            <w:pPr>
              <w:spacing w:after="0"/>
              <w:rPr>
                <w:sz w:val="20"/>
                <w:szCs w:val="20"/>
                <w:color w:val="auto"/>
              </w:rPr>
            </w:pPr>
          </w:p>
        </w:tc>
        <w:tc>
          <w:tcPr>
            <w:tcW w:w="120" w:type="dxa"/>
            <w:vAlign w:val="bottom"/>
            <w:tcBorders>
              <w:top w:val="single" w:sz="8" w:color="EAF9E8"/>
            </w:tcBorders>
            <w:shd w:val="clear" w:color="auto" w:fill="EAF9E8"/>
          </w:tcPr>
          <w:p>
            <w:pPr>
              <w:spacing w:after="0"/>
              <w:rPr>
                <w:sz w:val="20"/>
                <w:szCs w:val="20"/>
                <w:color w:val="auto"/>
              </w:rPr>
            </w:pPr>
          </w:p>
        </w:tc>
        <w:tc>
          <w:tcPr>
            <w:tcW w:w="1040" w:type="dxa"/>
            <w:vAlign w:val="bottom"/>
            <w:tcBorders>
              <w:top w:val="single" w:sz="8" w:color="EAF9E8"/>
            </w:tcBorders>
            <w:shd w:val="clear" w:color="auto" w:fill="EAF9E8"/>
          </w:tcPr>
          <w:p>
            <w:pPr>
              <w:spacing w:after="0"/>
              <w:rPr>
                <w:sz w:val="20"/>
                <w:szCs w:val="20"/>
                <w:color w:val="auto"/>
              </w:rPr>
            </w:pPr>
          </w:p>
        </w:tc>
        <w:tc>
          <w:tcPr>
            <w:tcW w:w="100" w:type="dxa"/>
            <w:vAlign w:val="bottom"/>
            <w:tcBorders>
              <w:top w:val="single" w:sz="8" w:color="EAF9E8"/>
            </w:tcBorders>
            <w:shd w:val="clear" w:color="auto" w:fill="EAF9E8"/>
          </w:tcPr>
          <w:p>
            <w:pPr>
              <w:spacing w:after="0"/>
              <w:rPr>
                <w:sz w:val="20"/>
                <w:szCs w:val="20"/>
                <w:color w:val="auto"/>
              </w:rPr>
            </w:pPr>
          </w:p>
        </w:tc>
        <w:tc>
          <w:tcPr>
            <w:tcW w:w="300" w:type="dxa"/>
            <w:vAlign w:val="bottom"/>
            <w:tcBorders>
              <w:top w:val="single" w:sz="8" w:color="auto"/>
            </w:tcBorders>
            <w:shd w:val="clear" w:color="auto" w:fill="EAF9E8"/>
          </w:tcPr>
          <w:p>
            <w:pPr>
              <w:spacing w:after="0"/>
              <w:rPr>
                <w:sz w:val="20"/>
                <w:szCs w:val="20"/>
                <w:color w:val="auto"/>
              </w:rPr>
            </w:pPr>
          </w:p>
        </w:tc>
        <w:tc>
          <w:tcPr>
            <w:tcW w:w="1060" w:type="dxa"/>
            <w:vAlign w:val="bottom"/>
            <w:tcBorders>
              <w:top w:val="single" w:sz="8" w:color="auto"/>
            </w:tcBorders>
            <w:shd w:val="clear" w:color="auto" w:fill="EAF9E8"/>
          </w:tcPr>
          <w:p>
            <w:pPr>
              <w:spacing w:after="0"/>
              <w:rPr>
                <w:sz w:val="20"/>
                <w:szCs w:val="20"/>
                <w:color w:val="auto"/>
              </w:rPr>
            </w:pPr>
          </w:p>
        </w:tc>
        <w:tc>
          <w:tcPr>
            <w:tcW w:w="100" w:type="dxa"/>
            <w:vAlign w:val="bottom"/>
            <w:tcBorders>
              <w:top w:val="single" w:sz="8" w:color="EAF9E8"/>
            </w:tcBorders>
            <w:shd w:val="clear" w:color="auto" w:fill="EAF9E8"/>
          </w:tcPr>
          <w:p>
            <w:pPr>
              <w:spacing w:after="0"/>
              <w:rPr>
                <w:sz w:val="20"/>
                <w:szCs w:val="20"/>
                <w:color w:val="auto"/>
              </w:rPr>
            </w:pPr>
          </w:p>
        </w:tc>
        <w:tc>
          <w:tcPr>
            <w:tcW w:w="300" w:type="dxa"/>
            <w:vAlign w:val="bottom"/>
            <w:tcBorders>
              <w:top w:val="single" w:sz="8" w:color="auto"/>
            </w:tcBorders>
            <w:shd w:val="clear" w:color="auto" w:fill="EAF9E8"/>
          </w:tcPr>
          <w:p>
            <w:pPr>
              <w:spacing w:after="0"/>
              <w:rPr>
                <w:sz w:val="20"/>
                <w:szCs w:val="20"/>
                <w:color w:val="auto"/>
              </w:rPr>
            </w:pPr>
          </w:p>
        </w:tc>
        <w:tc>
          <w:tcPr>
            <w:tcW w:w="1060" w:type="dxa"/>
            <w:vAlign w:val="bottom"/>
            <w:tcBorders>
              <w:top w:val="single" w:sz="8" w:color="auto"/>
            </w:tcBorders>
            <w:shd w:val="clear" w:color="auto" w:fill="EAF9E8"/>
          </w:tcPr>
          <w:p>
            <w:pPr>
              <w:spacing w:after="0"/>
              <w:rPr>
                <w:sz w:val="20"/>
                <w:szCs w:val="20"/>
                <w:color w:val="auto"/>
              </w:rPr>
            </w:pPr>
          </w:p>
        </w:tc>
        <w:tc>
          <w:tcPr>
            <w:tcW w:w="100" w:type="dxa"/>
            <w:vAlign w:val="bottom"/>
            <w:tcBorders>
              <w:top w:val="single" w:sz="8" w:color="EAF9E8"/>
            </w:tcBorders>
            <w:shd w:val="clear" w:color="auto" w:fill="EAF9E8"/>
          </w:tcPr>
          <w:p>
            <w:pPr>
              <w:spacing w:after="0"/>
              <w:rPr>
                <w:sz w:val="20"/>
                <w:szCs w:val="20"/>
                <w:color w:val="auto"/>
              </w:rPr>
            </w:pPr>
          </w:p>
        </w:tc>
        <w:tc>
          <w:tcPr>
            <w:tcW w:w="1040" w:type="dxa"/>
            <w:vAlign w:val="bottom"/>
            <w:tcBorders>
              <w:top w:val="single" w:sz="8" w:color="EAF9E8"/>
            </w:tcBorders>
            <w:shd w:val="clear" w:color="auto" w:fill="EAF9E8"/>
          </w:tcPr>
          <w:p>
            <w:pPr>
              <w:spacing w:after="0"/>
              <w:rPr>
                <w:sz w:val="20"/>
                <w:szCs w:val="20"/>
                <w:color w:val="auto"/>
              </w:rPr>
            </w:pPr>
          </w:p>
        </w:tc>
      </w:tr>
      <w:tr>
        <w:trPr>
          <w:trHeight w:val="27"/>
        </w:trPr>
        <w:tc>
          <w:tcPr>
            <w:tcW w:w="34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0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0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06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2015 versus 2014</w:t>
      </w:r>
    </w:p>
    <w:p>
      <w:pPr>
        <w:spacing w:after="0" w:line="12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Expenses decreased by $72.3 million in the third quarter of 2015 as compared to 2014. Professional services declined by $92.0 million due to the $100.0 million charge recognized during the third quarter of 2014 in connection with the NY DFS settlement, partially offset by higher litigation costs. The decrease in Professional services was partially offset by higher Other expenses of $12.2 million, primarily as a result of 2015 costs to maintain and exit the legacy ResCap servicing platform of $11.9 million versus $2.1 million in the prior year period. Additionally, beginning in 2015, we realigned certain support group functions into Corporate Items and Other that had previously been charged directly to the Servicing and Lending segments. This transfer of direct costs to Corporate Items and Other accounts for the majority of the increases in the remaining expense categories. However, the increases are then largely offset by increased overhead allocations back to the business segments.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2015 versus 2014</w:t>
      </w:r>
    </w:p>
    <w:p>
      <w:pPr>
        <w:spacing w:after="0" w:line="121"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Expenses for the nine months ended September 30, 2015 were $44.4 million lower than the same period in 2014. Professional services decreased by $52.1 million due to the $100.0 million charge recognized during the third quarter of 2014 in connection with the NY DFS settlement partially offset by strategic advisor costs of $24.9 million incurred in 2015 and higher litigation costs. Other expenses increased by $14.9 million due to costs in 2015 of $18.3 million to maintain and exit from the legacy ResCap servicing platform versus $2.1 million in the prior year period. The impact of increased investments in internal risk and compliance resources, coupled with the realignment in 2015 of certain support group functions mentioned above, largely accounts for the majority of the increases in the remaining expense categories, which then drives the increased overhead allocations back to the business segments.</w:t>
      </w:r>
    </w:p>
    <w:p>
      <w:pPr>
        <w:spacing w:after="0" w:line="8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for the nine months ended September 30, 2015 and 2014 includes $19.5 million and $9.5 million, respectively, of interest expense on the $350.0 million Senior Unsecured Notes that we issued on May 12, 2014.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68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At September 30, 2015, our cash position was $458.7 million compared to $129.5 million at December 31, 2014. We invest cash that is in excess of our immediate operating needs primarily in money market deposit accounts. Our priorities for deployment of excess cash are: (1) supporting our core servicing and lending businesses and investing in these core assets, (2) reducing corporate leverage, and (3) expanding into similar or complementary businesses that meet our return on capital requirements.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of servicing fees and ancillary revenues;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match funded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other borrowings, including warehouse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sales of MSRs and related advances;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sales of originated loans and repurchased loans.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finance servicing advances is a significant factor that affects our liquidity. Our use of advance financing facilities is integral to our servicing advance financing strategy. The notes issued by our advance funding facilities currently have a 364-day revolving period, although we may in the future issue notes with longer revolving periods. The revolving periods for notes with a total borrowing capacity of $157.5 million end in 2015 with the remainder ending their revolving periods in 2016. Similarly, all of our master repurchase and participation agreements for financing new loan originations have 364-day terms. None of these facilities matures in 2015.</w:t>
      </w:r>
    </w:p>
    <w:p>
      <w:pPr>
        <w:spacing w:after="0" w:line="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can look only to the assets of the SPEs for satisfaction of the debt and the debt is not recourse to Ocwen. In connection with our sale of servicing advances to these advance financing SPEs and to NRZ in connection with the Rights to MSRs, we make certain representations, warranties and covenants primarily focused on the nature of the transferred advance receivables and on our servicing practices.</w:t>
      </w:r>
    </w:p>
    <w:p>
      <w:pPr>
        <w:spacing w:after="0" w:line="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Advances and match funded advances comprised 31% of total assets at September 30, 2015. Our borrowings under our advance funding facilities are secured by pledges of servicing advances that are sold to the related SPE. From December 31, 2014 to September 30, 2015, maximum borrowing capacity for match funded advances decreased by $392.5 million to $2.0 billion. This decrease occurred because of:</w:t>
      </w:r>
    </w:p>
    <w:p>
      <w:pPr>
        <w:spacing w:after="0" w:line="68"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voluntary termination of a $50.0 million commercial advance funding facility in January 2015;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scheduled $37.5 million reduction in the capacity of our OSARTIII facility in the second and third quarters of 2015;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negotiated decrease of $150.0 million in the capacity of our OMART facility upon renewal in September 2015;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scheduled decrease of $155.0 million in the capacity of our OFAF facility in September 2015.</w:t>
      </w:r>
    </w:p>
    <w:p>
      <w:pPr>
        <w:spacing w:after="0" w:line="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unused advance borrowing capacity increased by $107.9 million to $442.7 million at September 30, 2015 as compared to December 31, 2014, principally because of a decrease in borrowing, as total advances and match funded advances in our Servicing segment declined by $830.3 million during the same period. Our ability to continue to pledge collateral under each advance financing facility depends on the performance of the collateral. At September 30, 2015, $176.9 million of the available borrowing capacity could be used based on the amount of available collateral.</w:t>
      </w:r>
    </w:p>
    <w:p>
      <w:pPr>
        <w:spacing w:after="0" w:line="72"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We use mortgage loan warehouse facilities to fund newly originated loans on a short-term basis until they are sold to secondary market investors, including GSEs or other third-party investors. The majority of these warehouse facilities are structured as repurchase agreements under which ownership of the loans is temporarily transferred to a lender. The loans are transferred at a discount or “haircut” which serves as the primary credit enhancement for the lender. The funds are repaid using the proceeds from the sale of the loans to the secondary market investors, usually within 30-45 days. At September 30, 2015, we had total borrowing capacity under our warehouse facilities of $550.0 million. Of the borrowing capacity extended on a committed basis, $68.6 million was available at September 30, 2015, including our warehouse facilities for reverse mortgages. Of the borrowing capacity extended on an uncommitted basis or at the discretion of the lender, $209.4 million remained available at September 30, 2015. See Note 11 – Borrowings to the Unaudited Consolidated Financial Statements for additional details.</w:t>
      </w:r>
    </w:p>
    <w:p>
      <w:pPr>
        <w:spacing w:after="0" w:line="18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also rely on the secondary mortgage market as a source of long-term capital to support our lending operations. Substantially all of the mortgage loans that we produce are sold in the secondary mortgage market in the form of residential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684" w:right="239" w:bottom="1440" w:gutter="0" w:footer="0" w:header="0"/>
        </w:sectPr>
      </w:pPr>
    </w:p>
    <w:bookmarkStart w:id="69" w:name="page70"/>
    <w:bookmarkEnd w:id="69"/>
    <w:p>
      <w:pPr>
        <w:ind w:right="700"/>
        <w:spacing w:after="0" w:line="282" w:lineRule="auto"/>
        <w:rPr>
          <w:sz w:val="20"/>
          <w:szCs w:val="20"/>
          <w:color w:val="auto"/>
        </w:rPr>
      </w:pPr>
      <w:r>
        <w:rPr>
          <w:rFonts w:ascii="Times New Roman" w:cs="Times New Roman" w:eastAsia="Times New Roman" w:hAnsi="Times New Roman"/>
          <w:sz w:val="18"/>
          <w:szCs w:val="18"/>
          <w:color w:val="auto"/>
        </w:rPr>
        <w:t>mortgage backed securities guaranteed by Fannie Mae or Freddie Mac and, in the case of mortgage backed securities guaranteed by Ginnie Mae, are mortgage loans insured or guaranteed by the FHA or VA.</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noncompliance with our covenants, nonpayment of principal or interest, material misrepresentations, the occurrence of a material adverse change, insolvency, bankruptcy, certain material judgments and changes of control. 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advances in excess of collections on existing servicing portfolios;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interest and operating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of originated loans;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borrowings, including match funded liabilities and warehouse facilities.</w:t>
      </w:r>
    </w:p>
    <w:p>
      <w:pPr>
        <w:spacing w:after="0" w:line="9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Prior to October 20, 2015, under the terms of our SSTL facility agreement we were required to use 75% of the net sales proceeds from certain permitted asset sales (which generally include our announced Agency MSR sales) to prepay the SSTL. However, subject to certain conditions, we were able to reinvest the remaining 25% of such net sales proceeds within 120 days of receipt thereof (subject to an extension of up to 90 days if a binding agreement is entered into within such 120 days). Following amendments to the SSTL facility, effective as of October 20, 2015, we are required to use 100% of the net sales proceeds to prepay the SSTL. During the nine months ended September 30, 2015, we prepaid $561.6 million of the SSTL principal balance from proceeds of completed MSR sales.</w:t>
      </w:r>
    </w:p>
    <w:p>
      <w:pPr>
        <w:spacing w:after="0" w:line="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October 31, 2013, we announced that our board of directors had authorized a share repurchase program for an aggregate of up to $500.0 million of our issued and outstanding shares of common stock. As of September 30, 2015, the approximate remaining value of shares that may be repurchased under the plan was $129.7 million. On February 5, 2015, we announced that we had suspended this stock repurchase program. We may restart the stock repurchase program in the future, and unless we amend the share repurchase program or repurchase the full $500.0 million amount by an earlier date, the share repurchase program will continue through July 2016. During the nine months ended September 30, 2015, we did not repurchase any shares of common stock under this program.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closely monitor our liquidity position and ongoing funding requirements, and we regularly monitor and project cash flow by period to minimize liquidity risk.</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assessing our liquidity outlook, our primary focus is on five measures:</w:t>
      </w:r>
    </w:p>
    <w:p>
      <w:pPr>
        <w:spacing w:after="0" w:line="117"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financial projections for revenues, costs and net income;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maturing liabilities compared to amounts generated from maturing assets and operating cash flow;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sales of MSRs and servicing advances;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advances and match funded advances compared to the change in match funded liabilities and available borrowing capacity;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originations and purchases of forward and reverse mortgage loans.</w:t>
      </w:r>
    </w:p>
    <w:p>
      <w:pPr>
        <w:spacing w:after="0" w:line="9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We have considered the impact of financial projections on our liquidity analysis and have evaluated the appropriateness of the key assumptions in our forecast such as revenues, costs and sales of MSRs and other assets. We have analyzed our cash requirements and financial obligations. Based upon these evaluations and analyses, we believe that we have ample liquidity to meet our obligations and fund our operations for the next twelve months.</w:t>
      </w:r>
    </w:p>
    <w:p>
      <w:pPr>
        <w:spacing w:after="0" w:line="6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notes issued by our advance funding facilities currently have a 364-day revolving period, although we may in the future issue notes with longer revolving periods. The revolving periods for notes with a total borrowing capacity of $157.5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688" w:right="259" w:bottom="1440" w:gutter="0" w:footer="0" w:header="0"/>
        </w:sectPr>
      </w:pPr>
    </w:p>
    <w:bookmarkStart w:id="70" w:name="page71"/>
    <w:bookmarkEnd w:id="70"/>
    <w:p>
      <w:pPr>
        <w:ind w:right="60"/>
        <w:spacing w:after="0" w:line="256" w:lineRule="auto"/>
        <w:rPr>
          <w:sz w:val="20"/>
          <w:szCs w:val="20"/>
          <w:color w:val="auto"/>
        </w:rPr>
      </w:pPr>
      <w:r>
        <w:rPr>
          <w:rFonts w:ascii="Times New Roman" w:cs="Times New Roman" w:eastAsia="Times New Roman" w:hAnsi="Times New Roman"/>
          <w:sz w:val="18"/>
          <w:szCs w:val="18"/>
          <w:color w:val="auto"/>
        </w:rPr>
        <w:t>million end in 2015 with the remainder ending their revolving periods in 2016. At September 30, 2015, we had $1.6 billion outstanding under these facilities. In the event we are unable to renew, replace or extend the revolving period of one or more of these advance funding facilities, monthly amortization of the outstanding balance must begin at the end of the respective 364-day revolving period. Similarly, all of our master repurchase and participation agreements for financing new loan originations have 364-day terms; however, none of our facilities matures in 2015. At September 30, 2015, we had $272.0 million outstanding under these financing arrangements. We currently expect that we will be able to renew, replace or extend our debt agreements as they become due, consistent with our historical experience.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remain actively engaged with our lenders, and recent financing developments include the following:</w:t>
      </w:r>
    </w:p>
    <w:p>
      <w:pPr>
        <w:spacing w:after="0" w:line="11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we renewed three of our warehouse facilities, including:</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$100.0 million facility used finance loans acquired as part of our Servicing operations;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$60.0 million facility used to fund reverse mortgage originations with an increase in borrowing capacity to $100.0 million; and</w:t>
      </w:r>
    </w:p>
    <w:p>
      <w:pPr>
        <w:spacing w:after="0" w:line="9"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$300.0 million facility, of which $150.0 million was on an uncommitted basis, used to fund forward mortgage originations with a decrease in borrowing capacity to $200.0 million, all of which is on a committed basis.</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15, 2015, we repaid, as scheduled, the $155 million of Series 2015-T2 Notes under our OFAF advance financing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18, 2015, we renewed our OMART advance financing facility, as part of which we: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Retired certain existing revolving notes;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a new series of revolving notes to a replacement lender;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a new series of one-year term notes;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borrowing capacity of the OMART facility from $1.8 billion to $1.7 billion.</w:t>
      </w:r>
    </w:p>
    <w:p>
      <w:pPr>
        <w:spacing w:after="0" w:line="9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Many aspects of our liquidity forecast process require the use of judgment and estimates on the part of management and include factors that may be beyond our control. Additionally our actual results could differ materially from our estimates.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2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Credit ratings are intended to be an indicator of the creditworthiness of a particular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8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1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Short-term</w:t>
            </w:r>
          </w:p>
        </w:tc>
        <w:tc>
          <w:tcPr>
            <w:tcW w:w="16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42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Senior Unsecured Notes Review Status / Outlook</w:t>
            </w:r>
          </w:p>
        </w:tc>
        <w:tc>
          <w:tcPr>
            <w:tcW w:w="1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Date of last action</w:t>
            </w:r>
          </w:p>
        </w:tc>
      </w:tr>
      <w:tr>
        <w:trPr>
          <w:trHeight w:val="27"/>
        </w:trPr>
        <w:tc>
          <w:tcPr>
            <w:tcW w:w="1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EAF9E8"/>
            </w:tcBorders>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Moody’s</w:t>
            </w:r>
          </w:p>
        </w:tc>
        <w:tc>
          <w:tcPr>
            <w:tcW w:w="1820" w:type="dxa"/>
            <w:vAlign w:val="bottom"/>
            <w:tcBorders>
              <w:bottom w:val="single" w:sz="8" w:color="EAF9E8"/>
            </w:tcBorders>
            <w:shd w:val="clear" w:color="auto" w:fill="EAF9E8"/>
          </w:tcPr>
          <w:p>
            <w:pPr>
              <w:jc w:val="center"/>
              <w:ind w:right="50"/>
              <w:spacing w:after="0"/>
              <w:rPr>
                <w:sz w:val="20"/>
                <w:szCs w:val="20"/>
                <w:color w:val="auto"/>
              </w:rPr>
            </w:pPr>
            <w:r>
              <w:rPr>
                <w:rFonts w:ascii="Times New Roman" w:cs="Times New Roman" w:eastAsia="Times New Roman" w:hAnsi="Times New Roman"/>
                <w:sz w:val="18"/>
                <w:szCs w:val="18"/>
                <w:color w:val="auto"/>
                <w:w w:val="93"/>
              </w:rPr>
              <w:t>na</w:t>
            </w:r>
          </w:p>
        </w:tc>
        <w:tc>
          <w:tcPr>
            <w:tcW w:w="1680" w:type="dxa"/>
            <w:vAlign w:val="bottom"/>
            <w:tcBorders>
              <w:bottom w:val="single" w:sz="8" w:color="EAF9E8"/>
            </w:tcBorders>
            <w:shd w:val="clear" w:color="auto" w:fill="EAF9E8"/>
          </w:tcPr>
          <w:p>
            <w:pPr>
              <w:jc w:val="center"/>
              <w:ind w:left="170"/>
              <w:spacing w:after="0"/>
              <w:rPr>
                <w:sz w:val="20"/>
                <w:szCs w:val="20"/>
                <w:color w:val="auto"/>
              </w:rPr>
            </w:pPr>
            <w:r>
              <w:rPr>
                <w:rFonts w:ascii="Times New Roman" w:cs="Times New Roman" w:eastAsia="Times New Roman" w:hAnsi="Times New Roman"/>
                <w:sz w:val="18"/>
                <w:szCs w:val="18"/>
                <w:color w:val="auto"/>
              </w:rPr>
              <w:t>B2</w:t>
            </w:r>
          </w:p>
        </w:tc>
        <w:tc>
          <w:tcPr>
            <w:tcW w:w="1900" w:type="dxa"/>
            <w:vAlign w:val="bottom"/>
            <w:tcBorders>
              <w:bottom w:val="single" w:sz="8" w:color="EAF9E8"/>
            </w:tcBorders>
            <w:shd w:val="clear" w:color="auto" w:fill="EAF9E8"/>
          </w:tcPr>
          <w:p>
            <w:pPr>
              <w:jc w:val="center"/>
              <w:ind w:left="470"/>
              <w:spacing w:after="0"/>
              <w:rPr>
                <w:sz w:val="20"/>
                <w:szCs w:val="20"/>
                <w:color w:val="auto"/>
              </w:rPr>
            </w:pPr>
            <w:r>
              <w:rPr>
                <w:rFonts w:ascii="Times New Roman" w:cs="Times New Roman" w:eastAsia="Times New Roman" w:hAnsi="Times New Roman"/>
                <w:sz w:val="18"/>
                <w:szCs w:val="18"/>
                <w:color w:val="auto"/>
              </w:rPr>
              <w:t>B3</w:t>
            </w:r>
          </w:p>
        </w:tc>
        <w:tc>
          <w:tcPr>
            <w:tcW w:w="2340" w:type="dxa"/>
            <w:vAlign w:val="bottom"/>
            <w:tcBorders>
              <w:bottom w:val="single" w:sz="8" w:color="EAF9E8"/>
            </w:tcBorders>
            <w:shd w:val="clear" w:color="auto" w:fill="EAF9E8"/>
          </w:tcPr>
          <w:p>
            <w:pPr>
              <w:jc w:val="center"/>
              <w:ind w:left="90"/>
              <w:spacing w:after="0"/>
              <w:rPr>
                <w:sz w:val="20"/>
                <w:szCs w:val="20"/>
                <w:color w:val="auto"/>
              </w:rPr>
            </w:pPr>
            <w:r>
              <w:rPr>
                <w:rFonts w:ascii="Times New Roman" w:cs="Times New Roman" w:eastAsia="Times New Roman" w:hAnsi="Times New Roman"/>
                <w:sz w:val="18"/>
                <w:szCs w:val="18"/>
                <w:color w:val="auto"/>
                <w:w w:val="97"/>
              </w:rPr>
              <w:t>Stable</w:t>
            </w:r>
          </w:p>
        </w:tc>
        <w:tc>
          <w:tcPr>
            <w:tcW w:w="1820" w:type="dxa"/>
            <w:vAlign w:val="bottom"/>
            <w:tcBorders>
              <w:bottom w:val="single" w:sz="8" w:color="EAF9E8"/>
            </w:tcBorders>
            <w:shd w:val="clear" w:color="auto" w:fill="EAF9E8"/>
          </w:tcPr>
          <w:p>
            <w:pPr>
              <w:jc w:val="center"/>
              <w:ind w:right="30"/>
              <w:spacing w:after="0"/>
              <w:rPr>
                <w:sz w:val="20"/>
                <w:szCs w:val="20"/>
                <w:color w:val="auto"/>
              </w:rPr>
            </w:pPr>
            <w:r>
              <w:rPr>
                <w:rFonts w:ascii="Times New Roman" w:cs="Times New Roman" w:eastAsia="Times New Roman" w:hAnsi="Times New Roman"/>
                <w:sz w:val="18"/>
                <w:szCs w:val="18"/>
                <w:color w:val="auto"/>
                <w:w w:val="98"/>
              </w:rPr>
              <w:t>June 3, 2015</w:t>
            </w: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18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3"/>
              </w:rPr>
              <w:t>na</w:t>
            </w:r>
          </w:p>
        </w:tc>
        <w:tc>
          <w:tcPr>
            <w:tcW w:w="16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B</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CCC+</w:t>
            </w:r>
          </w:p>
        </w:tc>
        <w:tc>
          <w:tcPr>
            <w:tcW w:w="2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Credit Watch Negative</w:t>
            </w:r>
          </w:p>
        </w:tc>
        <w:tc>
          <w:tcPr>
            <w:tcW w:w="1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April 21, 2015</w:t>
            </w:r>
          </w:p>
        </w:tc>
      </w:tr>
      <w:tr>
        <w:trPr>
          <w:trHeight w:val="27"/>
        </w:trPr>
        <w:tc>
          <w:tcPr>
            <w:tcW w:w="1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1840" w:type="dxa"/>
            <w:vAlign w:val="bottom"/>
            <w:shd w:val="clear" w:color="auto" w:fill="EAF9E8"/>
          </w:tcPr>
          <w:p>
            <w:pPr>
              <w:ind w:left="20"/>
              <w:spacing w:after="0"/>
              <w:rPr>
                <w:sz w:val="20"/>
                <w:szCs w:val="20"/>
                <w:color w:val="auto"/>
              </w:rPr>
            </w:pPr>
            <w:r>
              <w:rPr>
                <w:rFonts w:ascii="Times New Roman" w:cs="Times New Roman" w:eastAsia="Times New Roman" w:hAnsi="Times New Roman"/>
                <w:sz w:val="18"/>
                <w:szCs w:val="18"/>
                <w:color w:val="auto"/>
              </w:rPr>
              <w:t>Fitch</w:t>
            </w:r>
          </w:p>
        </w:tc>
        <w:tc>
          <w:tcPr>
            <w:tcW w:w="1820" w:type="dxa"/>
            <w:vAlign w:val="bottom"/>
            <w:shd w:val="clear" w:color="auto" w:fill="EAF9E8"/>
          </w:tcPr>
          <w:p>
            <w:pPr>
              <w:jc w:val="center"/>
              <w:ind w:right="50"/>
              <w:spacing w:after="0"/>
              <w:rPr>
                <w:sz w:val="20"/>
                <w:szCs w:val="20"/>
                <w:color w:val="auto"/>
              </w:rPr>
            </w:pPr>
            <w:r>
              <w:rPr>
                <w:rFonts w:ascii="Times New Roman" w:cs="Times New Roman" w:eastAsia="Times New Roman" w:hAnsi="Times New Roman"/>
                <w:sz w:val="18"/>
                <w:szCs w:val="18"/>
                <w:color w:val="auto"/>
                <w:w w:val="99"/>
              </w:rPr>
              <w:t>B</w:t>
            </w:r>
          </w:p>
        </w:tc>
        <w:tc>
          <w:tcPr>
            <w:tcW w:w="1680" w:type="dxa"/>
            <w:vAlign w:val="bottom"/>
            <w:shd w:val="clear" w:color="auto" w:fill="EAF9E8"/>
          </w:tcPr>
          <w:p>
            <w:pPr>
              <w:jc w:val="center"/>
              <w:ind w:left="170"/>
              <w:spacing w:after="0"/>
              <w:rPr>
                <w:sz w:val="20"/>
                <w:szCs w:val="20"/>
                <w:color w:val="auto"/>
              </w:rPr>
            </w:pPr>
            <w:r>
              <w:rPr>
                <w:rFonts w:ascii="Times New Roman" w:cs="Times New Roman" w:eastAsia="Times New Roman" w:hAnsi="Times New Roman"/>
                <w:sz w:val="18"/>
                <w:szCs w:val="18"/>
                <w:color w:val="auto"/>
                <w:w w:val="99"/>
              </w:rPr>
              <w:t>B-</w:t>
            </w:r>
          </w:p>
        </w:tc>
        <w:tc>
          <w:tcPr>
            <w:tcW w:w="1900" w:type="dxa"/>
            <w:vAlign w:val="bottom"/>
            <w:shd w:val="clear" w:color="auto" w:fill="EAF9E8"/>
          </w:tcPr>
          <w:p>
            <w:pPr>
              <w:jc w:val="center"/>
              <w:ind w:left="450"/>
              <w:spacing w:after="0"/>
              <w:rPr>
                <w:sz w:val="20"/>
                <w:szCs w:val="20"/>
                <w:color w:val="auto"/>
              </w:rPr>
            </w:pPr>
            <w:r>
              <w:rPr>
                <w:rFonts w:ascii="Times New Roman" w:cs="Times New Roman" w:eastAsia="Times New Roman" w:hAnsi="Times New Roman"/>
                <w:sz w:val="18"/>
                <w:szCs w:val="18"/>
                <w:color w:val="auto"/>
                <w:w w:val="99"/>
              </w:rPr>
              <w:t>CC</w:t>
            </w:r>
          </w:p>
        </w:tc>
        <w:tc>
          <w:tcPr>
            <w:tcW w:w="2340" w:type="dxa"/>
            <w:vAlign w:val="bottom"/>
            <w:shd w:val="clear" w:color="auto" w:fill="EAF9E8"/>
          </w:tcPr>
          <w:p>
            <w:pPr>
              <w:jc w:val="center"/>
              <w:ind w:left="90"/>
              <w:spacing w:after="0"/>
              <w:rPr>
                <w:sz w:val="20"/>
                <w:szCs w:val="20"/>
                <w:color w:val="auto"/>
              </w:rPr>
            </w:pPr>
            <w:r>
              <w:rPr>
                <w:rFonts w:ascii="Times New Roman" w:cs="Times New Roman" w:eastAsia="Times New Roman" w:hAnsi="Times New Roman"/>
                <w:sz w:val="18"/>
                <w:szCs w:val="18"/>
                <w:color w:val="auto"/>
                <w:w w:val="97"/>
              </w:rPr>
              <w:t>Stable</w:t>
            </w:r>
          </w:p>
        </w:tc>
        <w:tc>
          <w:tcPr>
            <w:tcW w:w="1820" w:type="dxa"/>
            <w:vAlign w:val="bottom"/>
            <w:shd w:val="clear" w:color="auto" w:fill="EAF9E8"/>
          </w:tcPr>
          <w:p>
            <w:pPr>
              <w:jc w:val="center"/>
              <w:ind w:right="30"/>
              <w:spacing w:after="0"/>
              <w:rPr>
                <w:sz w:val="20"/>
                <w:szCs w:val="20"/>
                <w:color w:val="auto"/>
              </w:rPr>
            </w:pPr>
            <w:r>
              <w:rPr>
                <w:rFonts w:ascii="Times New Roman" w:cs="Times New Roman" w:eastAsia="Times New Roman" w:hAnsi="Times New Roman"/>
                <w:sz w:val="18"/>
                <w:szCs w:val="18"/>
                <w:color w:val="auto"/>
              </w:rPr>
              <w:t>June 24, 2015</w:t>
            </w:r>
          </w:p>
        </w:tc>
      </w:tr>
      <w:tr>
        <w:trPr>
          <w:trHeight w:val="27"/>
        </w:trPr>
        <w:tc>
          <w:tcPr>
            <w:tcW w:w="184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900" w:type="dxa"/>
            <w:vAlign w:val="bottom"/>
            <w:shd w:val="clear" w:color="auto" w:fill="EAF9E8"/>
          </w:tcPr>
          <w:p>
            <w:pPr>
              <w:spacing w:after="0"/>
              <w:rPr>
                <w:sz w:val="2"/>
                <w:szCs w:val="2"/>
                <w:color w:val="auto"/>
              </w:rPr>
            </w:pPr>
          </w:p>
        </w:tc>
        <w:tc>
          <w:tcPr>
            <w:tcW w:w="2340" w:type="dxa"/>
            <w:vAlign w:val="bottom"/>
            <w:shd w:val="clear" w:color="auto" w:fill="EAF9E8"/>
          </w:tcPr>
          <w:p>
            <w:pPr>
              <w:spacing w:after="0"/>
              <w:rPr>
                <w:sz w:val="2"/>
                <w:szCs w:val="2"/>
                <w:color w:val="auto"/>
              </w:rPr>
            </w:pPr>
          </w:p>
        </w:tc>
        <w:tc>
          <w:tcPr>
            <w:tcW w:w="1820" w:type="dxa"/>
            <w:vAlign w:val="bottom"/>
            <w:shd w:val="clear" w:color="auto" w:fill="EAF9E8"/>
          </w:tcPr>
          <w:p>
            <w:pPr>
              <w:spacing w:after="0"/>
              <w:rPr>
                <w:sz w:val="2"/>
                <w:szCs w:val="2"/>
                <w:color w:val="auto"/>
              </w:rPr>
            </w:pPr>
          </w:p>
        </w:tc>
      </w:tr>
    </w:tbl>
    <w:p>
      <w:pPr>
        <w:spacing w:after="0" w:line="9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Moody’s announced an upgrade of our corporate family, senior secured and senior unsecured credit ratings on June 3, 2015 and changed its outlook for all of these ratings from negative to stable. On April 21, 2015, S&amp;P placed our credit ratings on CreditWatch with negative implications. On June 24, 2015, Fitch affirmed our credit ratings and revised its outlook from negative to stable. It is possible that additional actions by credit rating agencies could have a material adverse impact on our liquidity and funding position, including materially changing the terms on which we may be able to borrow money.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operating cash flow is primarily impacted by the receipt of servicing fees, changes in our servicing advance balances, the level of new loan production and the timing of sales and securitizations of forward mortgage loans. To the extent we sell MSRs related to delinquent loans, we accelerate the recovery of the related advances. We also receive any outstanding deferred servicing fees.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2015</w:t>
      </w:r>
    </w:p>
    <w:p>
      <w:pPr>
        <w:spacing w:after="0" w:line="121"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Our operating activities provided $774.0 million of cash largely due to positive earnings after adjusting for MSR amortization and valuation-related losses and other non-cash items, $491.7 million of net collections of servicing advances and $222.1 million of net proceeds from sales and collections of loans held for sale.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80" w:right="239" w:bottom="1440" w:gutter="0" w:footer="0" w:header="0"/>
        </w:sectPr>
      </w:pPr>
    </w:p>
    <w:bookmarkStart w:id="71" w:name="page72"/>
    <w:bookmarkEnd w:id="71"/>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Our investing activities provided $189.0 million of cash. Cash inflows include the receipt of $598.1 million of net proceeds from the sale of Agency MSRs, $285.9 million of proceeds from the sale of advances and $105.5 million of collections on reverse mortgages. Investing activities include cash outflows in connection with our reverse mortgage originations of $781.0 million.</w:t>
      </w:r>
    </w:p>
    <w:p>
      <w:pPr>
        <w:spacing w:after="0" w:line="6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financing activities used $633.8 million of cash. Cash outflows were primarily comprised of $500.4 million of net repayments on match funded liabilities from net advance recoveries, $561.6 million of repayments on the SSTL, including $561.6 million of prepayments in connection with MSR sales, and a $156.4 million net reduction in borrowings under mortgage warehouse facilities used to fund originated forward loans. Cash outflows for the nine months ended September 30, 2015 also include $18.6 million of costs incurred in connection with amendments to the SSTL. These cash outflows were offset in large part by $803.9 million received in connection with our reverse mortgage securitizations, which are accounted for as secured financings.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2014</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operating activities provided $559.0 million of cash largely due to net income, adjusted for MSR amortization and valuation-related losses and other non-cash items, and $236.7 million of net collections of servicing advances. The cash inflows were partially offset by $5.9 million of net originations and purchases of loans held for sale and the net settlement paid in May 2014 in connection with the Ocwen National Mortgage Settlement.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investing activities used $732.4 million of cash. Investing activities include cash outflows in connection with our reverse mortgage originations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$565.7 million. In addition, we paid $226.3 million in connection with asset and business acquisitions completed during the nine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Cash inflows include $56.2 million of collections on reverse mortgages.</w:t>
      </w:r>
    </w:p>
    <w:p>
      <w:pPr>
        <w:spacing w:after="0" w:line="20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financing activities provided $294.0 million of cash. Cash provided by our financing activities includes $381.6 million in connection with our reverse mortgage securitizations accounted for as secured financings. Financing activities also include $343.3 million of cash received in connection with the issuance of $350.0 million of Senior Unsecured Notes in May 2014, net of the payment of $6.7 million of debt issuance costs. In addition, we received $123.6 million of proceeds from the OASIS transaction involving the sale of Freddie Mac MSRs and $88.1 million of proceeds from the sale of advances to NRZ acquired in connection with the Ginnie Mae EBO Transaction, both of which were accounted for as a financing. These cash inflows were partially offset by a paydown of match funded liabilities using a portion of the proceeds from the Senior Unsecured Notes and a net reduction in borrowings under mortgage warehouse facilities used to fund originated forward loans that declined during the period. We also completed the repurchase of 9,920,649 shares of common stock for $325.6 million, including 7,970,353 shares for $253.4 million under our stock repurchase program and 1,950,296 shares for $72.3 million that we issued upon conversion of the remaining 62,000 shares of preferred stock.</w:t>
      </w:r>
    </w:p>
    <w:p>
      <w:pPr>
        <w:spacing w:after="0" w:line="77" w:lineRule="exact"/>
        <w:rPr>
          <w:sz w:val="20"/>
          <w:szCs w:val="20"/>
          <w:color w:val="auto"/>
        </w:rPr>
      </w:pPr>
    </w:p>
    <w:p>
      <w:pPr>
        <w:ind w:right="4680"/>
        <w:spacing w:after="0" w:line="378" w:lineRule="auto"/>
        <w:rPr>
          <w:sz w:val="20"/>
          <w:szCs w:val="20"/>
          <w:color w:val="auto"/>
        </w:rPr>
      </w:pPr>
      <w:r>
        <w:rPr>
          <w:rFonts w:ascii="Times New Roman" w:cs="Times New Roman" w:eastAsia="Times New Roman" w:hAnsi="Times New Roman"/>
          <w:sz w:val="18"/>
          <w:szCs w:val="18"/>
          <w:b w:val="1"/>
          <w:bCs w:val="1"/>
          <w:color w:val="auto"/>
        </w:rPr>
        <w:t>CONTRACTUAL OBLIGATIONS AND OFF BALANCE SHEET ARRANGEMENTS Contractual Obligations</w:t>
      </w: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believe that we have adequate resources to fund all unfunded commitments to the extent required and meet all contractual obligations as they come due. At September 30, 2015, such contractual obligations were primarily comprised of secured and unsecured borrowings, interest payments, operating leases and commitments to originate or purchase loans. Other than the renewal and amendment of advance funding facilities and other secured borrowings and the prepayment of the SSTL from proceeds of MSR sales, there were no significant changes to our contractual obligations during the nine months ended September 30, 2015.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480"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70"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We record all derivative transactions at fair value on our consolidated balance sheets. We use these derivatives primarily to manage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risk. The notional amounts of our derivative contracts do not reflect our exposure to credit loss. See Note 13 – Derivative Financial Instruments and Hedging Activities to the Unaudited Consolidated Financial Statements for additional information.</w:t>
      </w:r>
    </w:p>
    <w:p>
      <w:pPr>
        <w:spacing w:after="0" w:line="65"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Involvement with SPEs</w:t>
      </w:r>
      <w:r>
        <w:rPr>
          <w:rFonts w:ascii="Times New Roman" w:cs="Times New Roman" w:eastAsia="Times New Roman" w:hAnsi="Times New Roman"/>
          <w:sz w:val="18"/>
          <w:szCs w:val="18"/>
          <w:color w:val="auto"/>
        </w:rPr>
        <w:t>. We use SPEs for a variety of purposes but principally in the financing of our servicing advances and in the securitization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mortgage loans. We consolidate the servicing advance financing SPEs. The holders of the debt of these SPEs can look only to the assets of the SPEs for satisfaction of the debt and have no recourse against Ocwen. See Note 2 – Securitizations and Variable Interest Entities to the Unaudited Consolidated Financial Statements for additional information.</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688" w:right="239" w:bottom="1440" w:gutter="0" w:footer="0" w:header="0"/>
        </w:sectPr>
      </w:pPr>
    </w:p>
    <w:bookmarkStart w:id="72" w:name="page73"/>
    <w:bookmarkEnd w:id="72"/>
    <w:p>
      <w:pPr>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VIEs</w:t>
      </w:r>
      <w:r>
        <w:rPr>
          <w:rFonts w:ascii="Times New Roman" w:cs="Times New Roman" w:eastAsia="Times New Roman" w:hAnsi="Times New Roman"/>
          <w:sz w:val="18"/>
          <w:szCs w:val="18"/>
          <w:color w:val="auto"/>
        </w:rPr>
        <w:t>. If we determine that we are the primary beneficiary of a VIE, we include the VIE in our consolidated financial statements. We have interests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VIEs that we do not consolidate because we have determined that we are not the primary beneficiary of the VIEs. In addition, we have transferred forward and reverse mortgage loans in transactions accounted for as sales or as secured borrowings for which we retain the obligation for servicing and for standard representations and warranties on the loans. See Note 2 – Securitizations and Variable Interest Entities to the Unaudited Consolidated Financial Statements for additional information.</w:t>
      </w:r>
    </w:p>
    <w:p>
      <w:pPr>
        <w:spacing w:after="0" w:line="72"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Mortgage Loan Repurchase and Indemnification Liabilities. </w:t>
      </w:r>
      <w:r>
        <w:rPr>
          <w:rFonts w:ascii="Times New Roman" w:cs="Times New Roman" w:eastAsia="Times New Roman" w:hAnsi="Times New Roman"/>
          <w:sz w:val="18"/>
          <w:szCs w:val="18"/>
          <w:color w:val="auto"/>
        </w:rPr>
        <w:t>We have exposure to representation, warranty and indemnification obligations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as a loan originator and servicer. See Note 2 – Securitizations and Variable Interest Entities, Note 12 – Other Liabilities and Note 20 – Contingencies to the Unaudited Consolidated Financial Statements for additional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ability to measure and report our financial position and operating results is influenced by the need to estimate the impact or outcome of future events on the basis of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with the Audit Committee of the Board of Directors. Our significant accounting policies and critical accounting estimates are disclosed in our Annual Report on Form 10-K for the year ended December 31, 2014 in Note 1B to the Consolidated Financial Statements and in Management’s Discussion and Analysis of Financial Condition and Results of Operations under “Critical Accounting Policies and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Amortization of MSRs</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Effective January 1, 2015, we elected fair value accounting for a newly-created class of non-Agency MSRs, which were previously accounted for using the amortization method. This irrevocable election applies to all subsequently acquired or originated servicing assets and liabilities that have characteristics consistent with this class. We recorded a cumulative-effect adjustment of $52.0 million (before deferred income taxes of $9.2 million) to retained earnings as of January 1, 2015 to reflect the excess of the fair value of these MSRs over their carrying amount. At December 31, 2014, the UPB of the related loans and the carrying value of the non-Agency MSRs for which the fair value election was made was $195.3 billion and $787.1 million, respectively.</w:t>
      </w:r>
    </w:p>
    <w:p>
      <w:pPr>
        <w:spacing w:after="0" w:line="7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During the first quarter of 2015, we recognized a $17.8 million impairment charge on our government-insured MSRs, as the fair value for this stratum was less than its carrying value. This impairment was primarily due to the FHA reducing its mortgage insurance premium rate by 50 basis points during the quarter, which created a greater incentive for existing FHA borrowers to refinance their loan and in turn, generated higher projected prepayment speed and shorter asset life inputs used to value these MSRs. During the second quarter of 2015, the fair value of this stratum increased due to higher interest rates and we reversed $16.2 million of the valuation allowance, while during the third quarter of 2015, the fair value of this stratum decreased due to lower interest rates, resulting in the recognition of an additional $23.4 million impairment charge. The carrying value of this stratum at September 30, 2015 was $144.2 million, net of the valuation allowance of $25.1 million. The impairment charge is recognized in Servicing and origination expense in the Unaudited Consolidated Statements of Operations.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686"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assets and liabilities measured at fair value on a recurring and nonrecurring basis and the amounts measured using Level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inputs at the dates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7"/>
        </w:trPr>
        <w:tc>
          <w:tcPr>
            <w:tcW w:w="686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526,972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488,612</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held for investment - reverse mortgages</w:t>
            </w: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2,319,515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1,550,141</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MSRs - recurring basis</w:t>
            </w: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787,344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93,901</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MSRs - nonrecurring basis (1)</w:t>
            </w: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144,212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11,511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6,632</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7,335</w:t>
            </w:r>
          </w:p>
        </w:tc>
      </w:tr>
      <w:tr>
        <w:trPr>
          <w:trHeight w:val="27"/>
        </w:trPr>
        <w:tc>
          <w:tcPr>
            <w:tcW w:w="686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Assets at fair value</w:t>
            </w: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3,798,095</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2,146,621</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total assets</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8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Financing liabilities</w:t>
            </w: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2,789,663</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EAF9E8"/>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2,058,693</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2,854</w:t>
            </w:r>
          </w:p>
        </w:tc>
      </w:tr>
      <w:tr>
        <w:trPr>
          <w:trHeight w:val="27"/>
        </w:trPr>
        <w:tc>
          <w:tcPr>
            <w:tcW w:w="686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2,793,101</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2,061,547</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total liabilities</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4"/>
        </w:trPr>
        <w:tc>
          <w:tcPr>
            <w:tcW w:w="68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Assets at fair value using Level 3 inputs</w:t>
            </w: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3,552,176</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1,739,436</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assets at fair value</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4"/>
        </w:trPr>
        <w:tc>
          <w:tcPr>
            <w:tcW w:w="68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Liabilities at fair value using Level 3 inputs</w:t>
            </w: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2,789,663</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EAF9E8"/>
          </w:tcPr>
          <w:p>
            <w:pPr>
              <w:jc w:val="right"/>
              <w:ind w:right="90"/>
              <w:spacing w:after="0"/>
              <w:rPr>
                <w:sz w:val="20"/>
                <w:szCs w:val="20"/>
                <w:color w:val="auto"/>
              </w:rPr>
            </w:pPr>
            <w:r>
              <w:rPr>
                <w:rFonts w:ascii="Times New Roman" w:cs="Times New Roman" w:eastAsia="Times New Roman" w:hAnsi="Times New Roman"/>
                <w:sz w:val="18"/>
                <w:szCs w:val="18"/>
                <w:color w:val="auto"/>
              </w:rPr>
              <w:t>2,058,693</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a percentage of liabilities at fair value</w:t>
            </w: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17" w:lineRule="exact"/>
        <w:rPr>
          <w:sz w:val="20"/>
          <w:szCs w:val="20"/>
          <w:color w:val="auto"/>
        </w:rPr>
      </w:pPr>
    </w:p>
    <w:p>
      <w:pPr>
        <w:ind w:left="500" w:right="440" w:hanging="492"/>
        <w:spacing w:after="0" w:line="282"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at September 30, 2015 represents our impaired government-insured stratum of amortization method MSRs, which is measured at fair value on a nonrecurring basis. The carrying value of this stratum is net of a valuation allowance of $25.1 million.</w:t>
      </w:r>
    </w:p>
    <w:p>
      <w:pPr>
        <w:spacing w:after="0" w:line="16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Assets at fair value using Level 3 inputs increased during the nine months ended September 30, 2015 primarily due to our election on January 1, 2015 to account for a newly-created class of non-Agency MSRs at fair value. Reverse mortgage originations also contributed to the increase in Level 3 assets at fair value.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80" w:lineRule="exact"/>
        <w:rPr>
          <w:sz w:val="20"/>
          <w:szCs w:val="20"/>
          <w:color w:val="auto"/>
        </w:rPr>
      </w:pPr>
    </w:p>
    <w:p>
      <w:pPr>
        <w:ind w:left="60" w:right="20" w:firstLine="324"/>
        <w:spacing w:after="0" w:line="282" w:lineRule="auto"/>
        <w:rPr>
          <w:sz w:val="20"/>
          <w:szCs w:val="20"/>
          <w:color w:val="auto"/>
        </w:rPr>
      </w:pPr>
      <w:r>
        <w:rPr>
          <w:rFonts w:ascii="Times New Roman" w:cs="Times New Roman" w:eastAsia="Times New Roman" w:hAnsi="Times New Roman"/>
          <w:sz w:val="18"/>
          <w:szCs w:val="18"/>
          <w:color w:val="auto"/>
        </w:rPr>
        <w:t>Refer to Note 3 – Fair Value to the Unaudited Consolidated Financial Statements for descriptions of valuation methodologies used to measure significant assets and liabilities at fair value and details of the valuation models, key inputs to those models, and significant assumptions utilized.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Other than for certain U.S. deferred tax assets, management believes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 the future, we will make an adjustment to the valuation allowance that will be charged to earnings in the period such determination is made. In addition, the calculation of tax liabilities involves significant judgment in estimating the impact of uncertainties in the application of GAAP and complex tax laws. Resolution of these uncertainties in a manner inconsistent with management’s expectations could have a material impact on our financial condition and operating results.</w:t>
      </w:r>
    </w:p>
    <w:p>
      <w:pPr>
        <w:spacing w:after="0" w:line="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2014, our net deferred tax assets included approximately $54.9 million in the U.S. jurisdiction. These deferred tax assets include approximately $45.9 million related to U.S. net operating loss carryforwards that can be used to offset taxable income in future periods and reduce our income taxes payable in those future periods. All of these net operating loss carryforwards will expire if they are not used within certain periods. At this time, we consider it more likely than not that we will have sufficient taxable income in the future that will allow us to realize these deferred tax assets. However, it is possible that some or all of these net operating loss carryforwards could ultimately expire unused, especially if future levels of income decrease. Therefore, unless we are able to generate sufficient taxable income from our operations, a substantial valuation allowance to reduce our U.S. deferred tax assets may be required, which would increase our income tax expense in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684"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period the allowance is recognized and could have a material adverse effect on our results of operations and statement of financial condition.</w:t>
      </w:r>
    </w:p>
    <w:p>
      <w:pPr>
        <w:spacing w:after="0" w:line="22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At September 30, 2015 and December 31, 2014, our total net deferred tax assets were $63.9 million and $77.0 million, respectively, net of a valuation allowance of $15.3 million and $19.4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Listed below are new accounting pronouncements that we adopted on January 1, 2015. None of these pronouncements had a material impact on our Unaudited Consolidated Financial Statements.</w:t>
      </w:r>
    </w:p>
    <w:p>
      <w:pPr>
        <w:spacing w:after="0" w:line="54"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Investments—Equity Method and Joint Ventures: Accounting for Investments in Qualified Affordable Housing Projects (ASU 2014-01)</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Receivables—Troubled Debt Restructurings by Creditors: Reclassification of Residential Real Estate Collateralized Consumer Mortgage Loans upon Foreclosure (ASU 2014-04)</w:t>
      </w:r>
    </w:p>
    <w:p>
      <w:pPr>
        <w:spacing w:after="0" w:line="5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Financial Statements and Property, Plant, and Equipment: Reporting Discontinued Operations and Disclosures of Disposals of Components of an Entity (ASU 2014-08)</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and Servicing: Repurchase-to-Maturity Transactions, Repurchase Financings and Disclosures (ASU 2014-11)</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Compensation—Stock Compensation: Accounting for Share-Based Payments When the Terms of an Award Provide That a Performance Target Could Be Achieved after the Requisite Service Period (ASU 2014-12)</w:t>
      </w:r>
    </w:p>
    <w:p>
      <w:pPr>
        <w:spacing w:after="0" w:line="5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Receivables—Troubled Debt Restructurings by Creditors: Classification of Certain Government-Guaranteed Mortgage Loans upon Foreclosure (ASU 2014-14)</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also evaluating the impact of recently issued accounting standards not yet adopted that are not effective for us until on or after January 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anticipate that our adoption of these standards will have a material impact on our consolidated financial statements.</w:t>
      </w:r>
    </w:p>
    <w:p>
      <w:pPr>
        <w:spacing w:after="0" w:line="9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under advance financing facilities.</w:t>
      </w:r>
    </w:p>
    <w:p>
      <w:pPr>
        <w:spacing w:after="0" w:line="6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Match Funded Liabilities</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monitor the effect of increases in interest rates on the interest paid on our variable rate advance financing debt. Earnings on cash and float balances are a partial offset to our exposure to changes in interest expense. To the extent the projected excess of our variable debt over cash and float balances require,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 and Interest Rate Lock Commitments</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15 days (in the correspondent and broker channels) or 60 days (for the direct channel). Our holding period for mortgage loans from funding to sale is typically less than 30 days.</w:t>
      </w:r>
    </w:p>
    <w:p>
      <w:pPr>
        <w:spacing w:after="0" w:line="8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For loans held for sale that we have elected to carry at fair value, we manage the associated interest rate risk through an active hedging program overseen by our Investment Committee. Our hedging policy determines the hedging instruments to be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688" w:right="239" w:bottom="1440" w:gutter="0" w:footer="0" w:header="0"/>
        </w:sectPr>
      </w:pPr>
    </w:p>
    <w:bookmarkStart w:id="75" w:name="page76"/>
    <w:bookmarkEnd w:id="75"/>
    <w:p>
      <w:pPr>
        <w:ind w:right="280"/>
        <w:spacing w:after="0" w:line="261" w:lineRule="auto"/>
        <w:rPr>
          <w:sz w:val="20"/>
          <w:szCs w:val="20"/>
          <w:color w:val="auto"/>
        </w:rPr>
      </w:pPr>
      <w:r>
        <w:rPr>
          <w:rFonts w:ascii="Times New Roman" w:cs="Times New Roman" w:eastAsia="Times New Roman" w:hAnsi="Times New Roman"/>
          <w:sz w:val="18"/>
          <w:szCs w:val="18"/>
          <w:color w:val="auto"/>
        </w:rPr>
        <w:t>used in the mortgage loan hedging program, which include forward sales of agency “to be announced” securities (TBAs), whole loan forward sales, Eurodollar futures and interest rate options. Forward mortgage backed securities (MBS) trades are primarily used to fix the forward sales price that will be realized upon the sale of mortgage loans into the secondary market. Our hedging policy also stipulates the hedge ratio we must maintain in managing this interest rate risk, which is also monitored by our Investment Committee.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MSRs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elected to account for two classes of MSRs at fair value. The first is a class of Agency MSRs, principally originated during 2012, for which we hedged the interest rate risk because the mortgage notes underlying the MSRs permit the borrowers to prepay the loans. Effective April 1, 2013, we modified our strategy for managing the risks of the portfolio of loans underlying this class of fair value MSRs and closed out the remaining economic hedge positions associated with the class. We terminated these hedges because we determined that they were ineffective for large movements in interest rates and only assured losses in substantial increasing-rate environments. The second class of MSRs at fair value was designated on January 1, 2015, when we elected fair value accounting for a newly created class of non-Agency MSRs that we previously accounted for using the amortization method.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Sensitive Financial Instruments</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tables below present the notional amounts of our financial instruments that are sensitive to changes in interest rates and the related fair value of these instruments at September 30, 2015 and December 31, 2014. We use certain assumptions to estimate the fair value of these instruments. See Note 3 – Fair Value to the Unaudited Consolidated Financial Statements for additional information regarding fair value of financial instruments.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140" w:type="dxa"/>
            <w:vAlign w:val="bottom"/>
          </w:tcPr>
          <w:p>
            <w:pPr>
              <w:spacing w:after="0"/>
              <w:rPr>
                <w:sz w:val="20"/>
                <w:szCs w:val="20"/>
                <w:color w:val="auto"/>
              </w:rPr>
            </w:pPr>
          </w:p>
        </w:tc>
        <w:tc>
          <w:tcPr>
            <w:tcW w:w="29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Assets: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Interest-earning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110,134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75,101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235,909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235,909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401,120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401,120</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sale, at lower of cost or fair value (1)</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291,063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291,063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87,492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Loans held for investment - reverse mortgages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2,319,515</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2,319,515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1,550,141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1,550,141</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Interest–earning collateral and debt service accounts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128,481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97,029</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Total rate-sensitive assets</w:t>
            </w: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3,085,102</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3,085,102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2,210,883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2,210,883</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Match funded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1,589,846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1,589,901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2,090,247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2,090,247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Financing liabilities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2,953,518</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2,934,388</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2,258,641</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2,248,341</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secured borrowings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1,001,070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1,733,691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1,658,699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321,563</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321,563</w:t>
            </w:r>
          </w:p>
        </w:tc>
      </w:tr>
      <w:tr>
        <w:trPr>
          <w:trHeight w:val="25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rate-sensitive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5,894,434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5,846,401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6,432,579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6,318,850</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65"/>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140" w:type="dxa"/>
            <w:vAlign w:val="bottom"/>
          </w:tcPr>
          <w:p>
            <w:pPr>
              <w:spacing w:after="0"/>
              <w:rPr>
                <w:sz w:val="24"/>
                <w:szCs w:val="24"/>
                <w:color w:val="auto"/>
              </w:rPr>
            </w:pPr>
          </w:p>
        </w:tc>
        <w:tc>
          <w:tcPr>
            <w:tcW w:w="29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516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b w:val="1"/>
                <w:bCs w:val="1"/>
                <w:color w:val="auto"/>
              </w:rPr>
              <w:t>Rate-Sensitive Derivative Financial Instruments:</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assets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Interest rate caps</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3,469,000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1,729,000</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IRLCs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385,073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239,406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Times New Roman" w:cs="Times New Roman" w:eastAsia="Times New Roman" w:hAnsi="Times New Roman"/>
                <w:sz w:val="18"/>
                <w:szCs w:val="18"/>
                <w:color w:val="auto"/>
              </w:rPr>
              <w:t>Forward MBS trades</w:t>
            </w:r>
          </w:p>
        </w:tc>
        <w:tc>
          <w:tcPr>
            <w:tcW w:w="14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672,899</w:t>
            </w:r>
          </w:p>
        </w:tc>
        <w:tc>
          <w:tcPr>
            <w:tcW w:w="12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703,725</w:t>
            </w:r>
          </w:p>
        </w:tc>
        <w:tc>
          <w:tcPr>
            <w:tcW w:w="100" w:type="dxa"/>
            <w:vAlign w:val="bottom"/>
            <w:tcBorders>
              <w:bottom w:val="single" w:sz="8" w:color="EAF9E8"/>
            </w:tcBorders>
            <w:shd w:val="clear" w:color="auto" w:fill="EAF9E8"/>
          </w:tcPr>
          <w:p>
            <w:pPr>
              <w:spacing w:after="0"/>
              <w:rPr>
                <w:sz w:val="23"/>
                <w:szCs w:val="23"/>
                <w:color w:val="auto"/>
              </w:rPr>
            </w:pPr>
          </w:p>
        </w:tc>
        <w:tc>
          <w:tcPr>
            <w:tcW w:w="2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(2,854)</w:t>
            </w:r>
          </w:p>
        </w:tc>
      </w:tr>
      <w:tr>
        <w:trPr>
          <w:trHeight w:val="257"/>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Derivatives, net</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3,778</w:t>
            </w: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620" w:right="5620" w:hanging="5612"/>
        <w:spacing w:after="0" w:line="564" w:lineRule="auto"/>
        <w:tabs>
          <w:tab w:leader="none" w:pos="4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market valuation allowances and including non-performing loans. 74</w:t>
      </w:r>
    </w:p>
    <w:p>
      <w:pPr>
        <w:sectPr>
          <w:pgSz w:w="11900" w:h="16838" w:orient="portrait"/>
          <w:cols w:equalWidth="0" w:num="1">
            <w:col w:w="11420"/>
          </w:cols>
          <w:pgMar w:left="240" w:top="68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Sensitivity Analysis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MSRs, Loans Held for Sale and Related Derivatives</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estimated change in the fair value of our MSRs and loans held for sale that we have elected to carry at fair value as well as any related derivatives at September 30, 2015, given hypothetical instantaneous parallel shifts in the yield curve. We used September 30, 2015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of the change in fair value may not be linear.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Change in Fair Value</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Down 25 bps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Up 25 bps</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(6,342)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Forward MBS trades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6,234</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Total loans held for sale and related derivatives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Fair value MSRs</w:t>
            </w:r>
          </w:p>
        </w:tc>
        <w:tc>
          <w:tcPr>
            <w:tcW w:w="1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13,579</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(13,697)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MSRs, embedded in pipeline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834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EAF9E8"/>
            </w:tcBorders>
            <w:shd w:val="clear" w:color="auto" w:fill="EAF9E8"/>
          </w:tcPr>
          <w:p>
            <w:pPr>
              <w:ind w:left="180"/>
              <w:spacing w:after="0"/>
              <w:rPr>
                <w:sz w:val="20"/>
                <w:szCs w:val="20"/>
                <w:color w:val="auto"/>
              </w:rPr>
            </w:pPr>
            <w:r>
              <w:rPr>
                <w:rFonts w:ascii="Times New Roman" w:cs="Times New Roman" w:eastAsia="Times New Roman" w:hAnsi="Times New Roman"/>
                <w:sz w:val="18"/>
                <w:szCs w:val="18"/>
                <w:color w:val="auto"/>
              </w:rPr>
              <w:t>Total fair value MSRs</w:t>
            </w:r>
          </w:p>
        </w:tc>
        <w:tc>
          <w:tcPr>
            <w:tcW w:w="1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(13,646)</w:t>
            </w:r>
          </w:p>
        </w:tc>
      </w:tr>
      <w:tr>
        <w:trPr>
          <w:trHeight w:val="291"/>
        </w:trPr>
        <w:tc>
          <w:tcPr>
            <w:tcW w:w="8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8340" w:type="dxa"/>
            <w:vAlign w:val="bottom"/>
            <w:tcBorders>
              <w:bottom w:val="single" w:sz="8" w:color="EAF9E8"/>
            </w:tcBorders>
            <w:shd w:val="clear" w:color="auto" w:fill="EAF9E8"/>
          </w:tcPr>
          <w:p>
            <w:pPr>
              <w:ind w:left="40"/>
              <w:spacing w:after="0"/>
              <w:rPr>
                <w:sz w:val="20"/>
                <w:szCs w:val="20"/>
                <w:color w:val="auto"/>
              </w:rPr>
            </w:pPr>
            <w:r>
              <w:rPr>
                <w:rFonts w:ascii="Times New Roman" w:cs="Times New Roman" w:eastAsia="Times New Roman" w:hAnsi="Times New Roman"/>
                <w:sz w:val="18"/>
                <w:szCs w:val="18"/>
                <w:color w:val="auto"/>
              </w:rPr>
              <w:t>Total, net</w:t>
            </w:r>
          </w:p>
        </w:tc>
        <w:tc>
          <w:tcPr>
            <w:tcW w:w="18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EAF9E8"/>
          </w:tcPr>
          <w:p>
            <w:pPr>
              <w:jc w:val="right"/>
              <w:ind w:right="10"/>
              <w:spacing w:after="0"/>
              <w:rPr>
                <w:sz w:val="20"/>
                <w:szCs w:val="20"/>
                <w:color w:val="auto"/>
              </w:rPr>
            </w:pPr>
            <w:r>
              <w:rPr>
                <w:rFonts w:ascii="Times New Roman" w:cs="Times New Roman" w:eastAsia="Times New Roman" w:hAnsi="Times New Roman"/>
                <w:sz w:val="18"/>
                <w:szCs w:val="18"/>
                <w:color w:val="auto"/>
              </w:rPr>
              <w:t>13,503</w:t>
            </w:r>
          </w:p>
        </w:tc>
        <w:tc>
          <w:tcPr>
            <w:tcW w:w="10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auto"/>
            </w:tcBorders>
            <w:shd w:val="clear" w:color="auto" w:fill="EAF9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Times New Roman" w:cs="Times New Roman" w:eastAsia="Times New Roman" w:hAnsi="Times New Roman"/>
                <w:sz w:val="18"/>
                <w:szCs w:val="18"/>
                <w:color w:val="auto"/>
              </w:rPr>
              <w:t>(13,754)</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19" w:lineRule="exact"/>
        <w:rPr>
          <w:sz w:val="20"/>
          <w:szCs w:val="20"/>
          <w:color w:val="auto"/>
        </w:rPr>
      </w:pPr>
    </w:p>
    <w:p>
      <w:pPr>
        <w:ind w:left="60" w:right="300" w:firstLine="324"/>
        <w:spacing w:after="0" w:line="282" w:lineRule="auto"/>
        <w:rPr>
          <w:sz w:val="20"/>
          <w:szCs w:val="20"/>
          <w:color w:val="auto"/>
        </w:rPr>
      </w:pPr>
      <w:r>
        <w:rPr>
          <w:rFonts w:ascii="Times New Roman" w:cs="Times New Roman" w:eastAsia="Times New Roman" w:hAnsi="Times New Roman"/>
          <w:sz w:val="18"/>
          <w:szCs w:val="18"/>
          <w:color w:val="auto"/>
        </w:rPr>
        <w:t>The debt used to finance much of our operations is exposed to interest rate fluctuations. We may purchase interest rate swaps and interest rate caps to minimize future interest rate exposure from increases in one-month LIBOR interest rates.</w:t>
      </w:r>
    </w:p>
    <w:p>
      <w:pPr>
        <w:spacing w:after="0" w:line="5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Based on September 30, 2015 balances, if interest rates were to increase by 1% on our variable rate debt and interest earning cash and float balances, we estimate a net positive impact of $14.7 million resulting from an increase of $24.5 million in annual interest income and an increase of $9.9 million in annual interest expense. The increase in interest expense reflects the effect of our hedging activities, which would offset $5.9 million of the increase in interest on our variable rate debt.</w:t>
      </w:r>
    </w:p>
    <w:p>
      <w:pPr>
        <w:spacing w:after="0" w:line="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Management, under the supervision of and with the participation of our Chief Executive Officer and our Chief Financial Officer, has evaluated the effectiveness of our disclosure controls and procedures, as such term is defined in Rules 13a-15(e) and 15d-15(e) under the Securities Exchange Act of 1934, as amended (Exchange Act), as of September 30, 2015.</w:t>
      </w:r>
    </w:p>
    <w:p>
      <w:pPr>
        <w:spacing w:after="0" w:line="6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September 30, 2015,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8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fiscal quarter ended September 30, 2015 that has materially affected, or is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20 – Contingencies to the Unaudited Consolidated Financial Statements. That information is incorporated into this item by reference.</w:t>
      </w:r>
    </w:p>
    <w:p>
      <w:pPr>
        <w:spacing w:after="0" w:line="1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An investment in our common stock involves significant risks that are inherent to our business. We describe the principal risks and uncertainties that management believes affect or could affect us under Part I to our Annual Report on Form 10-K for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684" w:right="239" w:bottom="1440" w:gutter="0" w:footer="0" w:header="0"/>
        </w:sectPr>
      </w:pPr>
    </w:p>
    <w:bookmarkStart w:id="77" w:name="page78"/>
    <w:bookmarkEnd w:id="77"/>
    <w:p>
      <w:pPr>
        <w:ind w:right="420"/>
        <w:spacing w:after="0" w:line="261" w:lineRule="auto"/>
        <w:rPr>
          <w:sz w:val="20"/>
          <w:szCs w:val="20"/>
          <w:color w:val="auto"/>
        </w:rPr>
      </w:pPr>
      <w:r>
        <w:rPr>
          <w:rFonts w:ascii="Times New Roman" w:cs="Times New Roman" w:eastAsia="Times New Roman" w:hAnsi="Times New Roman"/>
          <w:sz w:val="18"/>
          <w:szCs w:val="18"/>
          <w:color w:val="auto"/>
        </w:rPr>
        <w:t>the year ended December 31, 2014. You should carefully read and consider the risks and uncertainties described therein together with all of the other information included or incorporated by reference in such Annual Report and our subsequent SEC filings before you make any decision regarding an investment in our common stock. If any of the risks actually occur, our business, financial condition and results of operations could be materially and adversely affected. If this were to happen, the value of our common stock could significantly decline, and you could lose some or all of your investment.</w:t>
      </w:r>
    </w:p>
    <w:p>
      <w:pPr>
        <w:spacing w:after="0" w:line="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3.1</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 and Restated Articles of Incorporation (1)</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3.2</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Articles of Amendment to Articles of Incorporation (2)</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3.3</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Articles of Amendment to Articles of Incorporation (2)</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3.4</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Articles of Amendment to Articles of Incorporation (3)</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3.5</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Articles of Correction (3)</w:t>
            </w:r>
          </w:p>
        </w:tc>
      </w:tr>
      <w:tr>
        <w:trPr>
          <w:trHeight w:val="252"/>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3.6</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Articles of Amendment to Articles of Incorporation, Articles of Designation, Preferences and Rights of Series A Perpetual</w:t>
            </w:r>
          </w:p>
        </w:tc>
      </w:tr>
      <w:tr>
        <w:trPr>
          <w:trHeight w:val="234"/>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Preferred Stock (4)</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3.7</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 and Restated Bylaws of Ocwen Financial Corporation (5)</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11.1</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Computation of earnings per share (6)</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 (filed herewith)</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31.2</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 (filed herewith)</w:t>
            </w:r>
          </w:p>
        </w:tc>
      </w:tr>
      <w:tr>
        <w:trPr>
          <w:trHeight w:val="252"/>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32.1</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18 U.S.C. Section 1350, as adopted pursuant to Section 906 of the</w:t>
            </w:r>
          </w:p>
        </w:tc>
      </w:tr>
      <w:tr>
        <w:trPr>
          <w:trHeight w:val="234"/>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Sarbanes-Oxley Act of 2002 (filed herewith)</w:t>
            </w:r>
          </w:p>
        </w:tc>
      </w:tr>
      <w:tr>
        <w:trPr>
          <w:trHeight w:val="252"/>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32.2</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18 U.S.C. Section 1350, as adopted pursuant to Section 906 of the</w:t>
            </w:r>
          </w:p>
        </w:tc>
      </w:tr>
      <w:tr>
        <w:trPr>
          <w:trHeight w:val="234"/>
        </w:trPr>
        <w:tc>
          <w:tcPr>
            <w:tcW w:w="1760" w:type="dxa"/>
            <w:vAlign w:val="bottom"/>
          </w:tcPr>
          <w:p>
            <w:pPr>
              <w:spacing w:after="0"/>
              <w:rPr>
                <w:sz w:val="20"/>
                <w:szCs w:val="20"/>
                <w:color w:val="auto"/>
              </w:rPr>
            </w:pP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Sarbanes-Oxley Act of 2002 (filed herewith)</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101.INS</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 (filed herewith)</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101.SCH</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 (filed herewith)</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101.CAL</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 (filed herewith)</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101.DEF</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 (filed herewith)</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101.LAB</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 (filed herewith)</w:t>
            </w:r>
          </w:p>
        </w:tc>
      </w:tr>
      <w:tr>
        <w:trPr>
          <w:trHeight w:val="270"/>
        </w:trPr>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101.PRE</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 (filed herewith)</w:t>
            </w:r>
          </w:p>
        </w:tc>
      </w:tr>
      <w:tr>
        <w:trPr>
          <w:trHeight w:val="27"/>
        </w:trPr>
        <w:tc>
          <w:tcPr>
            <w:tcW w:w="1760" w:type="dxa"/>
            <w:vAlign w:val="bottom"/>
            <w:tcBorders>
              <w:bottom w:val="single" w:sz="8" w:color="auto"/>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ind w:left="500" w:right="180" w:hanging="492"/>
        <w:spacing w:after="0" w:line="261"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ind w:left="500" w:right="700" w:hanging="492"/>
        <w:spacing w:after="0" w:line="250"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similarly described exhibit included with the Registrant’s Annual Report on Form 10-K for the year ended December 31, 2013.</w:t>
      </w:r>
    </w:p>
    <w:p>
      <w:pPr>
        <w:ind w:left="500" w:right="700" w:hanging="492"/>
        <w:spacing w:after="0" w:line="250"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similarly described exhibit included with the Registrant’s Annual Report on Form 10-K for the year ended December 31, 2010.</w:t>
      </w: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similarly described exhibit included with the Registrant’s Form 8-K filed with the SEC on December 28, 2012.</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described exhibit included with the Registrant’s Form 8-K filed with the SEC on May 10, 2013.</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“Note 15 – Basic and Diluted Earnings per Share” to the Unaudited Consolidated Financial Statements.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688" w:right="239" w:bottom="1440" w:gutter="0" w:footer="0" w:header="0"/>
        </w:sectPr>
      </w:pPr>
    </w:p>
    <w:bookmarkStart w:id="78" w:name="page79"/>
    <w:bookmarkEnd w:id="7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Michael R. Bourque, Jr.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(On behalf of the Registrant and as its principal financial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October 28,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00"/>
          </w:cols>
          <w:pgMar w:left="240" w:top="684" w:right="3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M. Faris, certify that:</w:t>
      </w:r>
    </w:p>
    <w:p>
      <w:pPr>
        <w:spacing w:after="0" w:line="225" w:lineRule="exact"/>
        <w:rPr>
          <w:sz w:val="20"/>
          <w:szCs w:val="20"/>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Ocwen Financial Corporation;</w:t>
      </w:r>
    </w:p>
    <w:p>
      <w:pPr>
        <w:spacing w:after="0" w:line="225" w:lineRule="exact"/>
        <w:rPr>
          <w:rFonts w:ascii="Times New Roman" w:cs="Times New Roman" w:eastAsia="Times New Roman" w:hAnsi="Times New Roman"/>
          <w:sz w:val="18"/>
          <w:szCs w:val="18"/>
          <w:color w:val="auto"/>
        </w:rPr>
      </w:pPr>
    </w:p>
    <w:p>
      <w:pPr>
        <w:jc w:val="both"/>
        <w:ind w:left="900" w:right="40" w:hanging="325"/>
        <w:spacing w:after="0" w:line="266"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20" w:right="300" w:hanging="321"/>
        <w:spacing w:after="0" w:line="266" w:lineRule="auto"/>
        <w:tabs>
          <w:tab w:leader="none" w:pos="12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220" w:right="460" w:hanging="321"/>
        <w:spacing w:after="0" w:line="282" w:lineRule="auto"/>
        <w:tabs>
          <w:tab w:leader="none" w:pos="12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700" w:hanging="321"/>
        <w:spacing w:after="0" w:line="282" w:lineRule="auto"/>
        <w:tabs>
          <w:tab w:leader="none" w:pos="12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400" w:hanging="321"/>
        <w:spacing w:after="0" w:line="261" w:lineRule="auto"/>
        <w:tabs>
          <w:tab w:leader="none" w:pos="12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October 28, 2015</w:t>
      </w:r>
      <w:r>
        <w:rPr>
          <w:sz w:val="20"/>
          <w:szCs w:val="20"/>
          <w:color w:val="auto"/>
        </w:rPr>
        <w:tab/>
      </w:r>
      <w:r>
        <w:rPr>
          <w:rFonts w:ascii="Times New Roman" w:cs="Times New Roman" w:eastAsia="Times New Roman" w:hAnsi="Times New Roman"/>
          <w:sz w:val="17"/>
          <w:szCs w:val="17"/>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Ronald M. Faris, President</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and Chief Executive Officer</w:t>
      </w:r>
    </w:p>
    <w:p>
      <w:pPr>
        <w:sectPr>
          <w:pgSz w:w="11900" w:h="16838" w:orient="portrait"/>
          <w:cols w:equalWidth="0" w:num="1">
            <w:col w:w="11420"/>
          </w:cols>
          <w:pgMar w:left="240" w:top="860"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Bourque, Jr., certify that:</w:t>
      </w:r>
    </w:p>
    <w:p>
      <w:pPr>
        <w:spacing w:after="0" w:line="225" w:lineRule="exact"/>
        <w:rPr>
          <w:sz w:val="20"/>
          <w:szCs w:val="20"/>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Ocwen Financial Corporation;</w:t>
      </w:r>
    </w:p>
    <w:p>
      <w:pPr>
        <w:spacing w:after="0" w:line="225" w:lineRule="exact"/>
        <w:rPr>
          <w:rFonts w:ascii="Times New Roman" w:cs="Times New Roman" w:eastAsia="Times New Roman" w:hAnsi="Times New Roman"/>
          <w:sz w:val="18"/>
          <w:szCs w:val="18"/>
          <w:color w:val="auto"/>
        </w:rPr>
      </w:pPr>
    </w:p>
    <w:p>
      <w:pPr>
        <w:jc w:val="both"/>
        <w:ind w:left="900" w:right="40" w:hanging="325"/>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220" w:right="300" w:hanging="321"/>
        <w:spacing w:after="0" w:line="266"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220" w:right="460" w:hanging="321"/>
        <w:spacing w:after="0" w:line="282"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220" w:right="160" w:hanging="321"/>
        <w:spacing w:after="0" w:line="266"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700" w:hanging="321"/>
        <w:spacing w:after="0" w:line="282"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400" w:hanging="321"/>
        <w:spacing w:after="0" w:line="282" w:lineRule="auto"/>
        <w:tabs>
          <w:tab w:leader="none" w:pos="12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October 28, 2015</w:t>
      </w:r>
      <w:r>
        <w:rPr>
          <w:sz w:val="20"/>
          <w:szCs w:val="20"/>
          <w:color w:val="auto"/>
        </w:rPr>
        <w:tab/>
      </w:r>
      <w:r>
        <w:rPr>
          <w:rFonts w:ascii="Times New Roman" w:cs="Times New Roman" w:eastAsia="Times New Roman" w:hAnsi="Times New Roman"/>
          <w:sz w:val="17"/>
          <w:szCs w:val="17"/>
          <w:color w:val="auto"/>
        </w:rPr>
        <w:t>/s/ Michael R. Bourque,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Michael R. Bourque, Jr., Executive Vice President</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420"/>
          </w:cols>
          <w:pgMar w:left="240" w:top="860"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M. Faris, state and attest that:</w:t>
      </w:r>
    </w:p>
    <w:p>
      <w:pPr>
        <w:spacing w:after="0" w:line="225" w:lineRule="exact"/>
        <w:rPr>
          <w:sz w:val="20"/>
          <w:szCs w:val="20"/>
          <w:color w:val="auto"/>
        </w:rPr>
      </w:pPr>
    </w:p>
    <w:p>
      <w:pPr>
        <w:ind w:left="500" w:hanging="411"/>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Chief Executive Officer of Ocwen Financial Corporation (the “Registrant”).</w:t>
      </w:r>
    </w:p>
    <w:p>
      <w:pPr>
        <w:spacing w:after="0" w:line="225" w:lineRule="exact"/>
        <w:rPr>
          <w:rFonts w:ascii="Times New Roman" w:cs="Times New Roman" w:eastAsia="Times New Roman" w:hAnsi="Times New Roman"/>
          <w:sz w:val="18"/>
          <w:szCs w:val="18"/>
          <w:color w:val="auto"/>
        </w:rPr>
      </w:pPr>
    </w:p>
    <w:p>
      <w:pPr>
        <w:ind w:left="500" w:hanging="411"/>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 ended September 30, 2015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Registrant for the periods presented.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Ronald M. Faris</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28, 2015</w:t>
            </w:r>
          </w:p>
        </w:tc>
      </w:tr>
    </w:tbl>
    <w:p>
      <w:pPr>
        <w:sectPr>
          <w:pgSz w:w="11900" w:h="16838" w:orient="portrait"/>
          <w:cols w:equalWidth="0" w:num="1">
            <w:col w:w="11420"/>
          </w:cols>
          <w:pgMar w:left="240" w:top="860"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Bourque, Jr., state and attest that:</w:t>
      </w:r>
    </w:p>
    <w:p>
      <w:pPr>
        <w:spacing w:after="0" w:line="225" w:lineRule="exact"/>
        <w:rPr>
          <w:sz w:val="20"/>
          <w:szCs w:val="20"/>
          <w:color w:val="auto"/>
        </w:rPr>
      </w:pPr>
    </w:p>
    <w:p>
      <w:pPr>
        <w:ind w:left="500" w:hanging="411"/>
        <w:spacing w:after="0"/>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Chief Financial Officer of Ocwen Financial Corporation (the “Registrant”).</w:t>
      </w:r>
    </w:p>
    <w:p>
      <w:pPr>
        <w:spacing w:after="0" w:line="225" w:lineRule="exact"/>
        <w:rPr>
          <w:rFonts w:ascii="Times New Roman" w:cs="Times New Roman" w:eastAsia="Times New Roman" w:hAnsi="Times New Roman"/>
          <w:sz w:val="18"/>
          <w:szCs w:val="18"/>
          <w:color w:val="auto"/>
        </w:rPr>
      </w:pPr>
    </w:p>
    <w:p>
      <w:pPr>
        <w:ind w:left="500" w:hanging="411"/>
        <w:spacing w:after="0"/>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 ended September 30, 2015 (the “periodic report”) containing financial statements fully complies with the requirements of Section 13(a) or 15(d), as applicable, of the Securities Exchange Act of 1934 (15 U.S.C. 78m or 78o(d)); and</w:t>
      </w:r>
    </w:p>
    <w:p>
      <w:pPr>
        <w:spacing w:after="0" w:line="176"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Registrant for the periods presented.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Michael R. Bourque, Jr.</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October 28, 2015</w:t>
            </w:r>
          </w:p>
        </w:tc>
      </w:tr>
    </w:tbl>
    <w:p>
      <w:pPr>
        <w:spacing w:after="0" w:line="1" w:lineRule="exact"/>
        <w:rPr>
          <w:sz w:val="20"/>
          <w:szCs w:val="20"/>
          <w:color w:val="auto"/>
        </w:rPr>
      </w:pPr>
    </w:p>
    <w:sectPr>
      <w:pgSz w:w="11900" w:h="16838" w:orient="portrait"/>
      <w:cols w:equalWidth="0" w:num="1">
        <w:col w:w="11420"/>
      </w:cols>
      <w:pgMar w:left="240" w:top="8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2"/>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2"/>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7"/>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2"/>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2"/>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2"/>
    </w:lvl>
  </w:abstractNum>
  <w:abstractNum w:abstractNumId="34">
    <w:nsid w:val="725A06FB"/>
    <w:multiLevelType w:val="hybridMultilevel"/>
    <w:lvl w:ilvl="0">
      <w:lvlJc w:val="left"/>
      <w:lvlText w:val="(%1)"/>
      <w:numFmt w:val="lowerRoman"/>
      <w:start w:val="7"/>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lvl w:ilvl="1">
      <w:lvlJc w:val="left"/>
      <w:lvlText w:val="◦"/>
      <w:numFmt w:val="bullet"/>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
      <w:numFmt w:val="bullet"/>
      <w:start w:val="1"/>
    </w:lvl>
  </w:abstractNum>
  <w:abstractNum w:abstractNumId="52">
    <w:nsid w:val="70C6A52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2019-12-29T15:45:27Z</dcterms:created>
  <dcterms:modified xsi:type="dcterms:W3CDTF">2019-12-29T15:45:27Z</dcterms:modified>
</cp:coreProperties>
</file>