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March 31, 2015</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1000 Abernathy Road NE, Suite 210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Atlanta, Georgia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30328</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33"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27" w:right="239" w:bottom="1440" w:gutter="0" w:footer="0" w:header="0"/>
        </w:sectPr>
      </w:pPr>
    </w:p>
    <w:p>
      <w:pPr>
        <w:spacing w:after="0" w:line="9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4" w:lineRule="exact"/>
        <w:rPr>
          <w:sz w:val="24"/>
          <w:szCs w:val="24"/>
          <w:color w:val="auto"/>
        </w:rPr>
      </w:pPr>
    </w:p>
    <w:p>
      <w:pPr>
        <w:sectPr>
          <w:pgSz w:w="11900" w:h="16838" w:orient="portrait"/>
          <w:cols w:equalWidth="0" w:num="4">
            <w:col w:w="2400" w:space="720"/>
            <w:col w:w="4440" w:space="720"/>
            <w:col w:w="2000" w:space="720"/>
            <w:col w:w="420"/>
          </w:cols>
          <w:pgMar w:left="240" w:top="927"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5">
            <w:col w:w="2400" w:space="720"/>
            <w:col w:w="100" w:space="360"/>
            <w:col w:w="3980" w:space="720"/>
            <w:col w:w="2000" w:space="720"/>
            <w:col w:w="420"/>
          </w:cols>
          <w:pgMar w:left="240" w:top="927" w:right="239" w:bottom="1440" w:gutter="0" w:footer="0" w:header="0"/>
          <w:type w:val="continuous"/>
        </w:sectPr>
      </w:pPr>
    </w:p>
    <w:p>
      <w:pPr>
        <w:ind w:right="320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x Number of shares of common stock outstanding as of April 30, 2015: 125,306,121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sz w:val="20"/>
                <w:szCs w:val="20"/>
                <w:color w:val="auto"/>
              </w:rPr>
            </w:pPr>
            <w:r>
              <w:rPr>
                <w:rFonts w:ascii="Arial" w:cs="Arial" w:eastAsia="Arial" w:hAnsi="Arial"/>
                <w:sz w:val="18"/>
                <w:szCs w:val="18"/>
                <w:b w:val="1"/>
                <w:bCs w:val="1"/>
                <w:color w:val="0000EE"/>
              </w:rPr>
              <w:t xml:space="preserve">PART I </w:t>
            </w:r>
            <w:r>
              <w:rPr>
                <w:rFonts w:ascii="Arial" w:cs="Arial" w:eastAsia="Arial" w:hAnsi="Arial"/>
                <w:sz w:val="18"/>
                <w:szCs w:val="18"/>
                <w:b w:val="1"/>
                <w:bCs w:val="1"/>
                <w:color w:val="000000"/>
              </w:rPr>
              <w:t>- FINANCIAL INFORMATION</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Balance Sheets at March 31, 2015 and December 31, 2014</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Operations for the Three Months Ended March 31, 2015 and 2014</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Comprehensive Income for the Three Months Ended March 31, 2015 and 2014</w:t>
            </w:r>
          </w:p>
        </w:tc>
        <w:tc>
          <w:tcPr>
            <w:tcW w:w="80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Changes in Stockholders’ Equity for the Three Months Ended March 31, 2015 and 2014</w:t>
            </w:r>
          </w:p>
        </w:tc>
        <w:tc>
          <w:tcPr>
            <w:tcW w:w="80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Three Months Ended March 31, 2015 and 2014</w:t>
            </w:r>
          </w:p>
        </w:tc>
        <w:tc>
          <w:tcPr>
            <w:tcW w:w="80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Notes to 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2.</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3.</w:t>
            </w:r>
          </w:p>
        </w:tc>
        <w:tc>
          <w:tcPr>
            <w:tcW w:w="96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4.</w:t>
            </w:r>
          </w:p>
        </w:tc>
        <w:tc>
          <w:tcPr>
            <w:tcW w:w="968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sz w:val="20"/>
                <w:szCs w:val="20"/>
                <w:color w:val="auto"/>
              </w:rPr>
            </w:pPr>
            <w:r>
              <w:rPr>
                <w:rFonts w:ascii="Arial" w:cs="Arial" w:eastAsia="Arial" w:hAnsi="Arial"/>
                <w:sz w:val="18"/>
                <w:szCs w:val="18"/>
                <w:b w:val="1"/>
                <w:bCs w:val="1"/>
                <w:color w:val="0000EE"/>
              </w:rPr>
              <w:t xml:space="preserve">PART II </w:t>
            </w:r>
            <w:r>
              <w:rPr>
                <w:rFonts w:ascii="Arial" w:cs="Arial" w:eastAsia="Arial" w:hAnsi="Arial"/>
                <w:sz w:val="18"/>
                <w:szCs w:val="18"/>
                <w:b w:val="1"/>
                <w:bCs w:val="1"/>
                <w:color w:val="000000"/>
              </w:rPr>
              <w:t>-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1A.</w:t>
            </w:r>
          </w:p>
        </w:tc>
        <w:tc>
          <w:tcPr>
            <w:tcW w:w="96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6.</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800" w:type="dxa"/>
            <w:vAlign w:val="bottom"/>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Forward-looking statements involve a number of assumptions, risks and uncertainties that could cause actual results to differ materially from those suggested by such statements. Accordingly, you should not place undue reliance on any forward-looking statement. Important factors that could cause actual results to differ include, but are not limited to, the risks discussed in “Risk Factors” in our Annual Report on Form 10-K for the year ended December 31, 2014 and the following:</w:t>
      </w:r>
    </w:p>
    <w:p>
      <w:pPr>
        <w:spacing w:after="0" w:line="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recent regulatory settlements;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settlements by key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 due to rumors or otherwise;</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government agencies and private parties regarding our servicing, foreclosure, modification and other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our debt agreements;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recent downgrades of our servicer and credit ratings;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2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New Residential Investment Corp. (NRZ) for a substantial portion of our advance funding for non-agency mortgage servicing rights;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long-term relationship with NRZ;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trustees and government sponsored entities (GSEs), regarding loan put-backs, penalties and legal actions;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seller/servicer agreements with GSEs and maintain our status as an approved seller/servicer;</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GSEs substantially curtailing or ceasing to purchase our conforming loan originations;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on our strategy to reduce the size of our agency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right="2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the systems, procedures and personnel of acquired assets and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3" w:name="page4"/>
    <w:bookmarkEnd w:id="3"/>
    <w:p>
      <w:pPr>
        <w:ind w:firstLine="324"/>
        <w:spacing w:after="0" w:line="279" w:lineRule="auto"/>
        <w:rPr>
          <w:sz w:val="20"/>
          <w:szCs w:val="20"/>
          <w:color w:val="auto"/>
        </w:rPr>
      </w:pPr>
      <w:r>
        <w:rPr>
          <w:rFonts w:ascii="Arial" w:cs="Arial" w:eastAsia="Arial" w:hAnsi="Arial"/>
          <w:sz w:val="17"/>
          <w:szCs w:val="17"/>
          <w:color w:val="auto"/>
        </w:rPr>
        <w:t>Further information on the risks specific to our business is detailed within this report and our other reports and filings with the Securities and Exchange Commission (SEC) including our Annual Report on Form 10-K for the year ended December 31, 2014 and our Current Reports on Form 8-K.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692"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2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242,332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129,473</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($897,797 and $93,901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1,820,651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1,913,992</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Advances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942,538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893,914</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advances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2,252,967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2,409,442</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Loans held for sale ($339,508 and $401,120 carried at fair value)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407,997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488,612</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investment - reverse mortgages,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1,808,141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1,550,141</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299,836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270,596</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Deferred tax assets, net</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68,708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76,987</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Premises and equipment,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42,945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43,310</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assets ($7,701 and $7,355 carried at fair value)</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500,659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490,811</w:t>
            </w:r>
          </w:p>
        </w:tc>
      </w:tr>
      <w:tr>
        <w:trPr>
          <w:trHeight w:val="297"/>
        </w:trPr>
        <w:tc>
          <w:tcPr>
            <w:tcW w:w="824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8,386,774</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8,267,278</w:t>
            </w:r>
          </w:p>
        </w:tc>
      </w:tr>
      <w:tr>
        <w:trPr>
          <w:trHeight w:val="122"/>
        </w:trPr>
        <w:tc>
          <w:tcPr>
            <w:tcW w:w="824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14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1300" w:type="dxa"/>
            <w:vAlign w:val="bottom"/>
            <w:shd w:val="clear" w:color="auto" w:fill="EAF9E8"/>
          </w:tcPr>
          <w:p>
            <w:pPr>
              <w:spacing w:after="0"/>
              <w:rPr>
                <w:sz w:val="10"/>
                <w:szCs w:val="10"/>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240" w:type="dxa"/>
            <w:vAlign w:val="bottom"/>
          </w:tcPr>
          <w:p>
            <w:pPr>
              <w:ind w:left="500"/>
              <w:spacing w:after="0"/>
              <w:rPr>
                <w:sz w:val="20"/>
                <w:szCs w:val="20"/>
                <w:color w:val="auto"/>
              </w:rPr>
            </w:pPr>
            <w:r>
              <w:rPr>
                <w:rFonts w:ascii="Arial" w:cs="Arial" w:eastAsia="Arial" w:hAnsi="Arial"/>
                <w:sz w:val="18"/>
                <w:szCs w:val="18"/>
                <w:color w:val="auto"/>
              </w:rPr>
              <w:t>Match funded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2,000,676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2,090,247</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Financing liabilities ($2,296,892 and $2,058,693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2,488,607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2,258,641</w:t>
            </w:r>
          </w:p>
        </w:tc>
      </w:tr>
      <w:tr>
        <w:trPr>
          <w:trHeight w:val="243"/>
        </w:trPr>
        <w:tc>
          <w:tcPr>
            <w:tcW w:w="8240" w:type="dxa"/>
            <w:vAlign w:val="bottom"/>
          </w:tcPr>
          <w:p>
            <w:pPr>
              <w:ind w:left="500"/>
              <w:spacing w:after="0"/>
              <w:rPr>
                <w:sz w:val="20"/>
                <w:szCs w:val="20"/>
                <w:color w:val="auto"/>
              </w:rPr>
            </w:pPr>
            <w:r>
              <w:rPr>
                <w:rFonts w:ascii="Arial" w:cs="Arial" w:eastAsia="Arial" w:hAnsi="Arial"/>
                <w:sz w:val="18"/>
                <w:szCs w:val="18"/>
                <w:color w:val="auto"/>
              </w:rPr>
              <w:t>Other secured borrowings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1,603,707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1,733,691</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Senior unsecured notes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82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822,244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793,534</w:t>
            </w:r>
          </w:p>
        </w:tc>
      </w:tr>
      <w:tr>
        <w:trPr>
          <w:trHeight w:val="27"/>
        </w:trPr>
        <w:tc>
          <w:tcPr>
            <w:tcW w:w="82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EAF9E8"/>
            </w:tcBorders>
            <w:shd w:val="clear" w:color="auto" w:fill="EAF9E8"/>
          </w:tcPr>
          <w:p>
            <w:pPr>
              <w:spacing w:after="0"/>
              <w:rPr>
                <w:sz w:val="22"/>
                <w:szCs w:val="22"/>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7,265,234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7,226,113</w:t>
            </w:r>
          </w:p>
        </w:tc>
      </w:tr>
      <w:tr>
        <w:trPr>
          <w:trHeight w:val="129"/>
        </w:trPr>
        <w:tc>
          <w:tcPr>
            <w:tcW w:w="8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r>
      <w:tr>
        <w:trPr>
          <w:trHeight w:val="25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Commitments and Contingencies (Notes 19 and 20)</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135"/>
        </w:trPr>
        <w:tc>
          <w:tcPr>
            <w:tcW w:w="8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50"/>
        </w:trPr>
        <w:tc>
          <w:tcPr>
            <w:tcW w:w="82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b w:val="1"/>
                <w:bCs w:val="1"/>
                <w:color w:val="auto"/>
              </w:rPr>
              <w:t>Equity</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240" w:type="dxa"/>
            <w:vAlign w:val="bottom"/>
          </w:tcPr>
          <w:p>
            <w:pPr>
              <w:ind w:left="600"/>
              <w:spacing w:after="0"/>
              <w:rPr>
                <w:sz w:val="20"/>
                <w:szCs w:val="20"/>
                <w:color w:val="auto"/>
              </w:rPr>
            </w:pPr>
            <w:r>
              <w:rPr>
                <w:rFonts w:ascii="Arial" w:cs="Arial" w:eastAsia="Arial" w:hAnsi="Arial"/>
                <w:sz w:val="18"/>
                <w:szCs w:val="18"/>
                <w:color w:val="auto"/>
              </w:rPr>
              <w:t>Ocwen Financial Corporation (Ocwen) stockholders’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240" w:type="dxa"/>
            <w:vAlign w:val="bottom"/>
            <w:shd w:val="clear" w:color="auto" w:fill="EAF9E8"/>
          </w:tcPr>
          <w:p>
            <w:pPr>
              <w:ind w:left="720"/>
              <w:spacing w:after="0"/>
              <w:rPr>
                <w:sz w:val="20"/>
                <w:szCs w:val="20"/>
                <w:color w:val="auto"/>
              </w:rPr>
            </w:pPr>
            <w:r>
              <w:rPr>
                <w:rFonts w:ascii="Arial" w:cs="Arial" w:eastAsia="Arial" w:hAnsi="Arial"/>
                <w:sz w:val="18"/>
                <w:szCs w:val="18"/>
                <w:color w:val="auto"/>
                <w:w w:val="92"/>
              </w:rPr>
              <w:t>Common stock, $.01 par value; 200,000,000 shares authorized; 125,302,788 and 125,215,615 shares</w:t>
            </w:r>
          </w:p>
        </w:tc>
        <w:tc>
          <w:tcPr>
            <w:tcW w:w="160" w:type="dxa"/>
            <w:vAlign w:val="bottom"/>
            <w:shd w:val="clear" w:color="auto" w:fill="EAF9E8"/>
          </w:tcPr>
          <w:p>
            <w:pPr>
              <w:spacing w:after="0"/>
              <w:rPr>
                <w:sz w:val="19"/>
                <w:szCs w:val="19"/>
                <w:color w:val="auto"/>
              </w:rPr>
            </w:pPr>
          </w:p>
        </w:tc>
        <w:tc>
          <w:tcPr>
            <w:tcW w:w="14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37"/>
        </w:trPr>
        <w:tc>
          <w:tcPr>
            <w:tcW w:w="8240" w:type="dxa"/>
            <w:vAlign w:val="bottom"/>
            <w:tcBorders>
              <w:bottom w:val="single" w:sz="8" w:color="EAF9E8"/>
            </w:tcBorders>
            <w:shd w:val="clear" w:color="auto" w:fill="EAF9E8"/>
          </w:tcPr>
          <w:p>
            <w:pPr>
              <w:ind w:left="880"/>
              <w:spacing w:after="0"/>
              <w:rPr>
                <w:sz w:val="20"/>
                <w:szCs w:val="20"/>
                <w:color w:val="auto"/>
              </w:rPr>
            </w:pPr>
            <w:r>
              <w:rPr>
                <w:rFonts w:ascii="Arial" w:cs="Arial" w:eastAsia="Arial" w:hAnsi="Arial"/>
                <w:sz w:val="18"/>
                <w:szCs w:val="18"/>
                <w:color w:val="auto"/>
              </w:rPr>
              <w:t>issued and outstanding at March 31, 2015 and December 31, 2014, respectively</w:t>
            </w:r>
          </w:p>
        </w:tc>
        <w:tc>
          <w:tcPr>
            <w:tcW w:w="16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1,252</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517,915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515,194</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607,562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530,361</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Accumulated other comprehensive loss, net of income taxes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(8,413)</w:t>
            </w:r>
          </w:p>
        </w:tc>
      </w:tr>
      <w:tr>
        <w:trPr>
          <w:trHeight w:val="27"/>
        </w:trPr>
        <w:tc>
          <w:tcPr>
            <w:tcW w:w="82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EAF9E8"/>
            </w:tcBorders>
            <w:shd w:val="clear" w:color="auto" w:fill="EAF9E8"/>
          </w:tcPr>
          <w:p>
            <w:pPr>
              <w:ind w:left="920"/>
              <w:spacing w:after="0"/>
              <w:rPr>
                <w:sz w:val="20"/>
                <w:szCs w:val="20"/>
                <w:color w:val="auto"/>
              </w:rPr>
            </w:pPr>
            <w:r>
              <w:rPr>
                <w:rFonts w:ascii="Arial" w:cs="Arial" w:eastAsia="Arial" w:hAnsi="Arial"/>
                <w:sz w:val="18"/>
                <w:szCs w:val="18"/>
                <w:color w:val="auto"/>
              </w:rPr>
              <w:t>Total Ocwen stockholders’ equity</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1,118,735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1,038,394</w:t>
            </w:r>
          </w:p>
        </w:tc>
      </w:tr>
      <w:tr>
        <w:trPr>
          <w:trHeight w:val="243"/>
        </w:trPr>
        <w:tc>
          <w:tcPr>
            <w:tcW w:w="8240" w:type="dxa"/>
            <w:vAlign w:val="bottom"/>
          </w:tcPr>
          <w:p>
            <w:pPr>
              <w:ind w:left="600"/>
              <w:spacing w:after="0"/>
              <w:rPr>
                <w:sz w:val="20"/>
                <w:szCs w:val="20"/>
                <w:color w:val="auto"/>
              </w:rPr>
            </w:pPr>
            <w:r>
              <w:rPr>
                <w:rFonts w:ascii="Arial" w:cs="Arial" w:eastAsia="Arial" w:hAnsi="Arial"/>
                <w:sz w:val="18"/>
                <w:szCs w:val="18"/>
                <w:color w:val="auto"/>
              </w:rPr>
              <w:t>Non-controlling interest in subsidiaries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2,771</w:t>
            </w:r>
          </w:p>
        </w:tc>
      </w:tr>
      <w:tr>
        <w:trPr>
          <w:trHeight w:val="27"/>
        </w:trPr>
        <w:tc>
          <w:tcPr>
            <w:tcW w:w="82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EAF9E8"/>
            </w:tcBorders>
            <w:shd w:val="clear" w:color="auto" w:fill="EAF9E8"/>
          </w:tcPr>
          <w:p>
            <w:pPr>
              <w:spacing w:after="0"/>
              <w:rPr>
                <w:sz w:val="22"/>
                <w:szCs w:val="22"/>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1,121,540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1,041,165</w:t>
            </w:r>
          </w:p>
        </w:tc>
      </w:tr>
      <w:tr>
        <w:trPr>
          <w:trHeight w:val="257"/>
        </w:trPr>
        <w:tc>
          <w:tcPr>
            <w:tcW w:w="8240" w:type="dxa"/>
            <w:vAlign w:val="bottom"/>
          </w:tcPr>
          <w:p>
            <w:pPr>
              <w:ind w:left="9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8,386,774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8,267,278</w:t>
            </w: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446,541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490,459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43,987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19,399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16,815</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510,444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551,261</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105,144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105,637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38,494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62,094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origination</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101,802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43,947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Technology and communications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36,976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56,931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21,398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Occupancy and equipment</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32,051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10,922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47,091</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378,358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349,194</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5,327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(139,873)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mortgage servicing rights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26,406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2,253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1,929</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(130,364)</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42,829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71,703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11,217</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60,486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Net income attributable to Ocwen stockholders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60,501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Preferred stock dividends</w:t>
            </w: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Deemed dividends related to beneficial conversion feature of preferred stock</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34,355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59,504</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3"/>
        </w:trPr>
        <w:tc>
          <w:tcPr>
            <w:tcW w:w="8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Earnings per share attributable to Ocwen common stockholders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0.43</w:t>
            </w:r>
          </w:p>
        </w:tc>
      </w:tr>
      <w:tr>
        <w:trPr>
          <w:trHeight w:val="122"/>
        </w:trPr>
        <w:tc>
          <w:tcPr>
            <w:tcW w:w="8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125,272,228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135,227,067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3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126,999,662</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141,089,455</w:t>
            </w:r>
          </w:p>
        </w:tc>
      </w:tr>
      <w:tr>
        <w:trPr>
          <w:trHeight w:val="27"/>
        </w:trPr>
        <w:tc>
          <w:tcPr>
            <w:tcW w:w="834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37" w:right="239" w:bottom="1440" w:gutter="0" w:footer="0" w:header="0"/>
          <w:type w:val="continuous"/>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INCOME (Dollars in thousands)</w:t>
      </w:r>
    </w:p>
    <w:p>
      <w:pPr>
        <w:spacing w:after="0" w:line="365"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For the Three Months Ended March</w:t>
      </w:r>
    </w:p>
    <w:p>
      <w:pPr>
        <w:spacing w:after="0" w:line="50"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34,389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60,486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85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Reclassification adjustment for losses on cash flow hedges included in net income (1)</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comprehensive income, net of income taxes</w:t>
            </w: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609</w:t>
            </w:r>
          </w:p>
        </w:tc>
      </w:tr>
      <w:tr>
        <w:trPr>
          <w:trHeight w:val="291"/>
        </w:trPr>
        <w:tc>
          <w:tcPr>
            <w:tcW w:w="85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34,807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61,095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Ocwen stockholders</w:t>
            </w:r>
          </w:p>
        </w:tc>
        <w:tc>
          <w:tcPr>
            <w:tcW w:w="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34,773</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61,110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tax expense of $0.2 million for the three months ended March 31, 2014. These losses are reclassified to Other,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7" w:name="page8"/>
    <w:bookmarkEnd w:id="7"/>
    <w:p>
      <w:pPr>
        <w:jc w:val="center"/>
        <w:ind w:left="260" w:right="2660"/>
        <w:spacing w:after="0" w:line="261"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THREE MONTHS ENDED MARCH 31, 2015 AND 2014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vMerge w:val="restart"/>
          </w:tcPr>
          <w:p>
            <w:pPr>
              <w:ind w:left="20"/>
              <w:spacing w:after="0" w:line="113"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Net of Taxes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125,215,615</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1,252</w:t>
            </w: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515,194</w:t>
            </w:r>
          </w:p>
        </w:tc>
        <w:tc>
          <w:tcPr>
            <w:tcW w:w="12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530,361</w:t>
            </w: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(8,413)</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2,771</w:t>
            </w: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1,041,165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34,355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34,389</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Cumulative effect of fair value election - Mortgage servicing</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rights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42,846</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42,846</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85,173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2,213</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43"/>
        </w:trPr>
        <w:tc>
          <w:tcPr>
            <w:tcW w:w="40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March 31, 2015</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125,302,788</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1,253</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517,915</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607,562</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(7,995)</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2,805</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1,121,540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00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2013</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135,176,271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818,427</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1,002,963</w:t>
            </w:r>
          </w:p>
        </w:tc>
        <w:tc>
          <w:tcPr>
            <w:tcW w:w="1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(10,151)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1,812,591</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60,501</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60,486</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Preferred stock dividends ($9.38 per share)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Conversion of preferred 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(60,000)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(2,307)</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244,000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4,903</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2,206</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2,206</w:t>
            </w: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Non-controlling interest in connection with acquisition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340"/>
              <w:spacing w:after="0"/>
              <w:rPr>
                <w:sz w:val="20"/>
                <w:szCs w:val="20"/>
                <w:color w:val="auto"/>
              </w:rPr>
            </w:pPr>
            <w:r>
              <w:rPr>
                <w:rFonts w:ascii="Arial" w:cs="Arial" w:eastAsia="Arial" w:hAnsi="Arial"/>
                <w:sz w:val="14"/>
                <w:szCs w:val="14"/>
                <w:color w:val="auto"/>
              </w:rPr>
              <w:t>controlling interest in Ocwen Structured Investments, LLC</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270"/>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Other comprehensive loss, net of income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3"/>
                <w:szCs w:val="23"/>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3"/>
                <w:szCs w:val="23"/>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3"/>
                <w:szCs w:val="23"/>
                <w:color w:val="auto"/>
              </w:rPr>
            </w:pPr>
          </w:p>
        </w:tc>
        <w:tc>
          <w:tcPr>
            <w:tcW w:w="9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3"/>
                <w:szCs w:val="23"/>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March 31, 2014</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135,365,174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1,354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819,362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1,062,467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(9,542)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2,511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1,876,152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34,389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60,486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62,094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Amortization of debt issuance costs – senior secured term loan</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1,087</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5,540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Provision for bad debts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14,170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31,386</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Impairment of mortgage servicing rights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17,769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Gain on sale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(43,987)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Gain on extinguishment of debt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Loss on valuation of mortgage servicing rights,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5,148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Increase in deferred tax assets,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Equity-based compensation expense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(1,036,150)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(2,378,056)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1,142,282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2,414,699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104,258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13,434</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Decrease in receivables and other assets,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48,437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Increase (decrease)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(41,170)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20,270</w:t>
            </w:r>
          </w:p>
        </w:tc>
      </w:tr>
      <w:tr>
        <w:trPr>
          <w:trHeight w:val="27"/>
        </w:trPr>
        <w:tc>
          <w:tcPr>
            <w:tcW w:w="8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325,018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195,782</w:t>
            </w:r>
          </w:p>
        </w:tc>
      </w:tr>
      <w:tr>
        <w:trPr>
          <w:trHeight w:val="318"/>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Cash paid to acquire ResCap Servicing Operations (a component of Residential Capital, LLC)</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Net cash paid to acquire controlling interest in Ocwen Structured Investments, LLC</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(7,833)</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Purchase of mortgage servicing rights,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Acquisition of advances in connection with the purchase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(83,942)</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Acquisition of advances in connection with the purchase of loans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(60,482)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sale of mortgage servicing rights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Origination of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(235,271)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(176,658)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(3,308)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891</w:t>
            </w:r>
          </w:p>
        </w:tc>
      </w:tr>
      <w:tr>
        <w:trPr>
          <w:trHeight w:val="27"/>
        </w:trPr>
        <w:tc>
          <w:tcPr>
            <w:tcW w:w="8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used in investing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(164,755)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(378,220)</w:t>
            </w:r>
          </w:p>
        </w:tc>
      </w:tr>
      <w:tr>
        <w:trPr>
          <w:trHeight w:val="318"/>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Repayment of match funded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1,858,258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1,497,669</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Repayments of other secured borrowings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(2,042,969)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(1,652,903)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123,551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sale of loans accounted for as a financing</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238,615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226,626</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sale of advances accounted for as a financing</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55,702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Repurchase of common stock</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(2,308)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Payment of preferred stock dividends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exercise of common stock options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1,176</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706</w:t>
            </w:r>
          </w:p>
        </w:tc>
      </w:tr>
      <w:tr>
        <w:trPr>
          <w:trHeight w:val="27"/>
        </w:trPr>
        <w:tc>
          <w:tcPr>
            <w:tcW w:w="8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(47,404)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246,312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p>
      <w:pPr>
        <w:spacing w:after="0" w:line="337" w:lineRule="exact"/>
        <w:rPr>
          <w:sz w:val="20"/>
          <w:szCs w:val="20"/>
          <w:color w:val="auto"/>
        </w:rPr>
      </w:pPr>
    </w:p>
    <w:p>
      <w:pPr>
        <w:ind w:left="40"/>
        <w:spacing w:after="0"/>
        <w:tabs>
          <w:tab w:leader="none" w:pos="9140" w:val="left"/>
          <w:tab w:leader="none" w:pos="10800" w:val="left"/>
        </w:tabs>
        <w:rPr>
          <w:sz w:val="20"/>
          <w:szCs w:val="20"/>
          <w:color w:val="auto"/>
        </w:rPr>
      </w:pPr>
      <w:r>
        <w:rPr>
          <w:rFonts w:ascii="Arial" w:cs="Arial" w:eastAsia="Arial" w:hAnsi="Arial"/>
          <w:sz w:val="18"/>
          <w:szCs w:val="18"/>
          <w:color w:val="auto"/>
        </w:rPr>
        <w:t>Net increase in cash</w:t>
      </w:r>
      <w:r>
        <w:rPr>
          <w:sz w:val="20"/>
          <w:szCs w:val="20"/>
          <w:color w:val="auto"/>
        </w:rPr>
        <w:tab/>
      </w:r>
      <w:r>
        <w:rPr>
          <w:rFonts w:ascii="Arial" w:cs="Arial" w:eastAsia="Arial" w:hAnsi="Arial"/>
          <w:sz w:val="18"/>
          <w:szCs w:val="18"/>
          <w:color w:val="auto"/>
        </w:rPr>
        <w:t>112,859</w:t>
      </w:r>
      <w:r>
        <w:rPr>
          <w:sz w:val="20"/>
          <w:szCs w:val="20"/>
          <w:color w:val="auto"/>
        </w:rPr>
        <w:tab/>
      </w:r>
      <w:r>
        <w:rPr>
          <w:rFonts w:ascii="Arial" w:cs="Arial" w:eastAsia="Arial" w:hAnsi="Arial"/>
          <w:sz w:val="16"/>
          <w:szCs w:val="16"/>
          <w:color w:val="auto"/>
        </w:rPr>
        <w:t>63,874</w:t>
      </w:r>
    </w:p>
    <w:p>
      <w:pPr>
        <w:sectPr>
          <w:pgSz w:w="11900" w:h="16838" w:orient="portrait"/>
          <w:cols w:equalWidth="0" w:num="1">
            <w:col w:w="11420"/>
          </w:cols>
          <w:pgMar w:left="240" w:top="337"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Cash at beginning of year</w:t>
            </w:r>
          </w:p>
        </w:tc>
        <w:tc>
          <w:tcPr>
            <w:tcW w:w="4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129,473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178,512</w:t>
            </w:r>
          </w:p>
        </w:tc>
      </w:tr>
      <w:tr>
        <w:trPr>
          <w:trHeight w:val="27"/>
        </w:trPr>
        <w:tc>
          <w:tcPr>
            <w:tcW w:w="836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end of period</w:t>
            </w: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242,332</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242,386</w:t>
            </w:r>
          </w:p>
        </w:tc>
      </w:tr>
      <w:tr>
        <w:trPr>
          <w:trHeight w:val="20"/>
        </w:trPr>
        <w:tc>
          <w:tcPr>
            <w:tcW w:w="8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Transfer of loans held for sale to loans held for investment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110,874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Ocwen Financial Corporation (NYSE: OCN) (Ocwen, we, us and our) is a financial services holding company which, through its subsidiaries, is engaged in the servicing and origination of mortgage loans. Ocwen is headquartered in Atlanta, Georgia with offices throughout the United States (U.S.) and in the United States Virgin Islands (USVI) with support operations in India and the Philippines. Ocwen is a Florida corporation organized in February 1988.</w:t>
      </w:r>
    </w:p>
    <w:p>
      <w:pPr>
        <w:spacing w:after="0" w:line="14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Homeward Residential, Inc. (Homeward), and Liberty Home Equity Solutions, Inc. (Liberty).</w:t>
      </w:r>
    </w:p>
    <w:p>
      <w:pPr>
        <w:spacing w:after="0" w:line="73" w:lineRule="exact"/>
        <w:rPr>
          <w:sz w:val="20"/>
          <w:szCs w:val="20"/>
          <w:color w:val="auto"/>
        </w:rPr>
      </w:pPr>
    </w:p>
    <w:p>
      <w:pPr>
        <w:ind w:right="540" w:firstLine="324"/>
        <w:spacing w:after="0" w:line="291" w:lineRule="auto"/>
        <w:rPr>
          <w:sz w:val="20"/>
          <w:szCs w:val="20"/>
          <w:color w:val="auto"/>
        </w:rPr>
      </w:pPr>
      <w:r>
        <w:rPr>
          <w:rFonts w:ascii="Arial" w:cs="Arial" w:eastAsia="Arial" w:hAnsi="Arial"/>
          <w:sz w:val="16"/>
          <w:szCs w:val="16"/>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ind w:right="140"/>
        <w:spacing w:after="0" w:line="253" w:lineRule="auto"/>
        <w:rPr>
          <w:sz w:val="20"/>
          <w:szCs w:val="20"/>
          <w:color w:val="auto"/>
        </w:rPr>
      </w:pPr>
      <w:r>
        <w:rPr>
          <w:rFonts w:ascii="Arial" w:cs="Arial" w:eastAsia="Arial" w:hAnsi="Arial"/>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originate, purchase, sell and securitize conventional (conforming to the underwriting standards of Fannie Mae or Freddie Mac; collectively referred to as Agency loans) and government insured (Federal Housing Authority (FHA) or Department of Veterans Affairs (VA) forward and reverse mortgages. The GSEs or Ginnie Mae guarantee these securitizations.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1A — Business Environment and Other Uncertainties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liquidity and financing activities. We may be adversely impacted by the following, among other things:</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sufficient liquidity to operate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covenants;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Downgrades in our third-party servicer ratings;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actions against us;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relationship with Home Loan Servicing Solutions, Ltd. (HLSS).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finance servicing advances is a significant factor that affects our liquidity. Our use of advance financing facilities is integral to our servicing advance financing strategy, as these advance financing facilities are necessary for us to meet our daily advance funding obligations under our servicing agreements. Our advance funding facilities have a 364-day term and the revolving periods for all of our advance funding facilities end in 2015. At March 31, 2015, we had $2.0 billion outstanding under these facilities. In the event we are unable to renew, replace or extend one or more of these advance funding facilities, repayment of the outstanding balance must begin at the end of the respective revolving period. In addition, we use mortgage loan warehouse facilities to fund newly originated loans on a short-term basis until they are sold to secondary market investors, including GSEs or other third-party investors. All of our master repurchase and participation agreements for financing new loan originations have 364-day terms and mature in 2015 under the same construct of 364-day facilities that are typically renewed annually. At March 31, 2015, we had $373.0 million outstanding under these financing arrangements.</w:t>
      </w:r>
    </w:p>
    <w:p>
      <w:pPr>
        <w:spacing w:after="0" w:line="8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currently plan to renew, replace or extend all of these debt agreements consistent with our historical experience. We currently are in negotiations with our lenders for the renewal, replacement or extension of our debt arrangements that mature or begin amortization in 2015. We may also consider other capital markets transactions including, but not limited to, the sale and financing of advance receivables in the event we do not renew, replace or extend a portion or all of our existing advance financing facilities. We have entered into commitment letters to refinance certain of our debt agreements and extended certain facilities ahead of their scheduled maturity, as detailed below under “Recent Actions.” Our lenders’ obligations to fund under these commitment letters are subject to conditions precedent, some of which are outside our control. In the event we are unable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1440" w:gutter="0" w:footer="0" w:header="0"/>
        </w:sectPr>
      </w:pPr>
    </w:p>
    <w:bookmarkStart w:id="11" w:name="page12"/>
    <w:bookmarkEnd w:id="11"/>
    <w:p>
      <w:pPr>
        <w:ind w:right="140"/>
        <w:spacing w:after="0" w:line="286" w:lineRule="auto"/>
        <w:rPr>
          <w:sz w:val="20"/>
          <w:szCs w:val="20"/>
          <w:color w:val="auto"/>
        </w:rPr>
      </w:pPr>
      <w:r>
        <w:rPr>
          <w:rFonts w:ascii="Arial" w:cs="Arial" w:eastAsia="Arial" w:hAnsi="Arial"/>
          <w:sz w:val="17"/>
          <w:szCs w:val="17"/>
          <w:color w:val="auto"/>
        </w:rPr>
        <w:t>to renew, replace or extend all of these debt agreements, we may not have adequate sources of funding for our business. Due to the significant level of cash requirements related to servicing advances, we may not have sufficient levels of liquidity to fund the operations without our advance financing facilities. We typically require significantly more liquidity to meet our advance funding obligations than our available cash on hand.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existing debt agreements, we are subject to various qualitative and quantitative covenants. These covenants include:</w:t>
      </w:r>
    </w:p>
    <w:p>
      <w:pPr>
        <w:spacing w:after="0" w:line="1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additional debt, paying dividends, repurchasing or redeeming capital stock, transferring assets or making loans, investments or acquisitions;</w:t>
      </w:r>
    </w:p>
    <w:p>
      <w:pPr>
        <w:ind w:left="660" w:right="2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right="3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specified interest coverage ratio, which is defined under our SSTL as the ratio of trailing four quarter adjusted EBITDA to trailing four quarter interest expense (each as defined therein);</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specified corporate leverage ratio, which is defined under our SSTL as consolidated debt to trailing four quarter adjusted EBITDA (each as defined therein);</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specified consolidated total debt to consolidated tangible net worth ratio;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specified loan to value ratio, as defined under our SSTL;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specified levels of consolidated tangible net worth, liquidity and, at the OLS level, net operating income.</w:t>
      </w:r>
    </w:p>
    <w:p>
      <w:pPr>
        <w:spacing w:after="0" w:line="10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material adverse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6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OLS, Homeward and Liberty are parties to seller/servicer agreements and/or subject to guidelines and regulations (collectively, seller/servicer obligations) with one or more of the GSEs, the Department of Housing and Urban Development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agencies has communicated any material sanction, suspension or prohibition in connection with our seller/servicer obligations. We believe we were in compliance with the related net worth requirements at March 31, 2015. Our non-Agency servicing agreements also contain requirements regarding servicing practices and other matters, and a failure to comply with these requirements could have an adverse impact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Ratings</w:t>
      </w:r>
    </w:p>
    <w:p>
      <w:pPr>
        <w:spacing w:after="0" w:line="12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Standard &amp; Poor’s (S&amp;P), Moody’s Investors Service (Moody’s), Fitch Ratings Inc. (Fitch) and Morningstar, Inc. (Morningstar) rate us as a mortgage servicer. Each of these rating agencies has downgraded our servicer rating within the last nine months. Additionally, three of these rating agencies currently have our ratings outlook as ‘negative’ or ‘on review for downgrade.’ Maintaining minimum ratings from these agencies are important to the conduct of our loan servicing and lending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2" w:name="page13"/>
    <w:bookmarkEnd w:id="12"/>
    <w:p>
      <w:pPr>
        <w:ind w:right="20"/>
        <w:spacing w:after="0" w:line="259" w:lineRule="auto"/>
        <w:rPr>
          <w:sz w:val="20"/>
          <w:szCs w:val="20"/>
          <w:color w:val="auto"/>
        </w:rPr>
      </w:pPr>
      <w:r>
        <w:rPr>
          <w:rFonts w:ascii="Arial" w:cs="Arial" w:eastAsia="Arial" w:hAnsi="Arial"/>
          <w:sz w:val="18"/>
          <w:szCs w:val="18"/>
          <w:color w:val="auto"/>
        </w:rPr>
        <w:t>businesses. Further 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7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addition, out of approximately 4,100 non-Agency servicing agreements, approximately 700 with approximately $45.0 billion of UPB as of March 31, 2015 have minimum servicer ratings criteria. As a result of downgrades in our servicer ratings, termination rights have been triggered in approximately 400 of these non-Agency servicing agreements. This represents approximately $25.0 billion in UPB as of March 31, 2015, or approximately 12% of our total non-Agency servicing portfolio. We recently received notices terminating us as the servicer under four of our non-Agency servicing 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While the financial impact of the termination of servicing under these four servicing agreements, which represent 0.15% of our overall servicing portfolio as of March 31, 2015, is immaterial to our overall financial condition, we could be subject to further terminations, either as a result of recent servicer ratings downgrades or future adverse actions by rating agencies, which could have an adverse effect on our business, financing activities, financial condition and results of operations.</w:t>
      </w:r>
    </w:p>
    <w:p>
      <w:pPr>
        <w:spacing w:after="0" w:line="5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Under one of its advance financing agreements, OLS must maintain certain minimum servicer ratings assigned by S&amp;P, Moody’s and Fitch. If any of these rating agencies withdraws its rating or if the assigned ratings falls below the minimum ratings established in the lending agreement, an early amortization event occurs under the lending agreement if the lender’s agent notifies the indenture trustee that an early amortization event has occurred. As a result of downgrades in our servicer ratings, the lender has the right to deliver such notice at any time. The lender has agreed not to deliver such a notice to the indenture trustee subject to its ongoing monthly review. If an early amortization event occurs and is not waived by the lender, no new advances can be funded under the facility, all collections on advances funded through the facility must be used to pay interest and principal on currently outstanding borrowings under the facility, minimum facility balance repayments would be instituted, and the interest rate margin on 1-month LIBOR would increase. At March 31, 2015, we had $348.3 million of borrowings outstanding under this facility out of a maximum borrowing capacity of $400.0 million. The scheduled date to begin amortization of this facility is June 2015. As described below under “Recent Actions,” one of our commitment letters provides for replacement financing should the existing lender seek not to renew or extend the revolving period upon its completion in June 2015.</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Downgrades in our servicer ratings could also affect the terms and availability of debt financing facilities that we may seek in the future.</w:t>
      </w:r>
    </w:p>
    <w:p>
      <w:pPr>
        <w:spacing w:after="0" w:line="117"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Our failure to maintain minimum or specified ratings could adversely affect our dealings with contractual counterparties, including GSEs, and regulators, any of which could have a material adverse effect on our business, financing activities, financial condition and results of operations.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Uncertainties</w:t>
      </w:r>
    </w:p>
    <w:p>
      <w:pPr>
        <w:spacing w:after="0" w:line="121"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As a result of the current regulatory environment, we have faced, and expect to continue to face, increased regulatory and public scrutiny as well as stricter and more comprehensive regulation of our business. We have recently entered into a number of regulatory settlements which have significantly impacted our ability to grow our servicing portfolio and which subject us to ongoing monitoring or reporting. See Note 18 - Regulatory Requirements and Note 20 - Contingencies for further information regarding regulatory requirements, our recent regulatory settlements and regulatory-related contingencies.</w:t>
      </w:r>
    </w:p>
    <w:p>
      <w:pPr>
        <w:spacing w:after="0" w:line="4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 the extent that an examination or other regulatory engagement reveals a failure by us to comply with applicable law, regulation or licensing requirement, or if we fail to comply with the commitments we have made under our regulatory settlements or if other regulatory actions are taken in the future against us of a similar or different nature,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 (vii) 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Our Relationship with HLSS</w:t>
      </w:r>
    </w:p>
    <w:p>
      <w:pPr>
        <w:spacing w:after="0" w:line="121"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We have sold rights to receive servicing fees, excluding ancillary income, with respect to certain non-Agency MSRs (Rights to MSRs), together with the related servicing advances, to HLSS. As of March 31, 2015 and through the date of HLSS’ sale transaction with New Residential Investment Corp. (NRZ) on April 6, 2015, we were dependent upon HLSS for financing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3" w:name="page14"/>
    <w:bookmarkEnd w:id="13"/>
    <w:p>
      <w:pPr>
        <w:ind w:right="40"/>
        <w:spacing w:after="0" w:line="302" w:lineRule="auto"/>
        <w:rPr>
          <w:sz w:val="20"/>
          <w:szCs w:val="20"/>
          <w:color w:val="auto"/>
        </w:rPr>
      </w:pPr>
      <w:r>
        <w:rPr>
          <w:rFonts w:ascii="Arial" w:cs="Arial" w:eastAsia="Arial" w:hAnsi="Arial"/>
          <w:sz w:val="16"/>
          <w:szCs w:val="16"/>
          <w:color w:val="auto"/>
        </w:rPr>
        <w:t>of servicing advance obligations for loans underlying Rights to MSRs where we are the servicer but HLSS assumed this obligation under the terms of our agreements with HLSS. HLSS, in turn, was dependent upon its advance financing facilities in order to fund a substantial portion of the servicing advances that it was contractually obligated to make pursuant to our agreements with HLSS. As of March 31, 2015, we were the servicer on Rights to MSRs pertaining to approximately $156.3 billion in UPB and the associated outstanding servicing advances as of such date were approximately $5.8 billion.</w:t>
      </w:r>
    </w:p>
    <w:p>
      <w:pPr>
        <w:spacing w:after="0" w:line="15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HLSS’ advance funding facilities had a 364-day term and the revolving periods for a significant portion of their advance funding facilities were scheduled to end in 2015. We are contractually required under our servicing agreements to make the relevant servicing advances even if HLSS did not, or was unable to, perform in accordance with its contractual obligations to fund those advances. If an event of default were to be determined, HLSS’ advance financing facilities revolving periods would terminate and the facilities would begin amortization. There were no provisions under which Ocwen would have been obligated to repay the HLSS advance financing facilities upon an event of default by HLSS. Instead, Ocwen, as servicer, would have been immediately responsible for all new advances. We do not have any committed or executed financial arrangements to provide for this need should it arise, and we cannot provide any assurances that such financing would be available, or if available, could be obtained at terms and conditions acceptable to us.</w:t>
      </w:r>
    </w:p>
    <w:p>
      <w:pPr>
        <w:spacing w:after="0" w:line="5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April 6, 2015, HLSS closed on the sale of substantially all of its assets to NRZ. Following the sale, NRZ, is the owner of the Rights to MSRs and related advances and has assumed HLSS’ rights and obligations under the associated agreements. NRZ is a public company listed on the New York Stock Exchange, whose business is focused on investing in, and actively managing, investments related to residential real estate, including MSRs. NRZ is externally managed and advised by an affiliate of Fortress Investment Group LLC, a global investment management organization.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Actions</w:t>
      </w:r>
    </w:p>
    <w:p>
      <w:pPr>
        <w:spacing w:after="0" w:line="12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To address the uncertainties set forth above, we have proactively engaged with our lenders to address our maturing debt agreements. Recent financing developments include the following:</w:t>
      </w:r>
    </w:p>
    <w:p>
      <w:pPr>
        <w:spacing w:after="0" w:line="62" w:lineRule="exact"/>
        <w:rPr>
          <w:sz w:val="20"/>
          <w:szCs w:val="20"/>
          <w:color w:val="auto"/>
        </w:rPr>
      </w:pPr>
    </w:p>
    <w:p>
      <w:pPr>
        <w:ind w:left="660" w:right="340" w:hanging="328"/>
        <w:spacing w:after="0" w:line="29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April 17, 2015, we entered into an agreement with a lender to provide, subject to a definitive master repurchase agreement and other funding conditions, up to $125.0 million of backup financing for new loan originations should existing facilities not renew at their maturity date.</w:t>
      </w:r>
    </w:p>
    <w:p>
      <w:pPr>
        <w:ind w:left="6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April 17, 2015, we entered into an amendment to the SSTL facility agreement. Effective as of April 20, 2015, the amendment, among other things (1) removed, with respect to the 2014 fiscal year, the requirement that our financial statements and the related audit report must be unqualified as to going concern; and (2) extended the required time period for delivery of the 2014 audited financial statements to May 29, 2015.</w:t>
      </w:r>
    </w:p>
    <w:p>
      <w:pPr>
        <w:spacing w:after="0" w:line="2" w:lineRule="exact"/>
        <w:rPr>
          <w:rFonts w:ascii="Arial" w:cs="Arial" w:eastAsia="Arial" w:hAnsi="Arial"/>
          <w:sz w:val="16"/>
          <w:szCs w:val="16"/>
          <w:color w:val="auto"/>
        </w:rPr>
      </w:pPr>
    </w:p>
    <w:p>
      <w:pPr>
        <w:ind w:left="660" w:right="4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May 11, 2015, we entered into an agreement with a global financial institution to refinance, subject to definitive documentation, the maintenance of our current servicer ratings with Standard &amp; Poor’s Ratings Services, and other funding conditions, $500.0 million of commitments under an existing $1.8 billion servicing advance financing facility and to extend the applicable revolving period to or beyond March 31, 2016.</w:t>
      </w:r>
    </w:p>
    <w:p>
      <w:pPr>
        <w:spacing w:after="0" w:line="2" w:lineRule="exact"/>
        <w:rPr>
          <w:rFonts w:ascii="Arial" w:cs="Arial" w:eastAsia="Arial" w:hAnsi="Arial"/>
          <w:sz w:val="16"/>
          <w:szCs w:val="16"/>
          <w:color w:val="auto"/>
        </w:rPr>
      </w:pPr>
    </w:p>
    <w:p>
      <w:pPr>
        <w:jc w:val="both"/>
        <w:ind w:left="660" w:right="100" w:hanging="328"/>
        <w:spacing w:after="0" w:line="323"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to the issuance of these unaudited consolidated financial statements, we entered into amendments or obtained waivers from each lender, to the extent necessary, extending the contractually required time period for delivery of audited financial statements for fiscal year 2014 to May 29, 2015.</w:t>
      </w:r>
    </w:p>
    <w:p>
      <w:pPr>
        <w:spacing w:after="0" w:line="3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On April 6, 2015, we entered into an amendment to certain of the agreements governing our relationship with HLSS. In consideration of our consent to the assignment by HLSS to NRZ of all HLSS’ right, title and interest in, to and under our arrangements with HLSS (including the Rights to MSRs), the amendment, among other things:</w:t>
      </w:r>
    </w:p>
    <w:p>
      <w:pPr>
        <w:spacing w:after="0" w:line="73" w:lineRule="exact"/>
        <w:rPr>
          <w:sz w:val="20"/>
          <w:szCs w:val="20"/>
          <w:color w:val="auto"/>
        </w:rPr>
      </w:pPr>
    </w:p>
    <w:p>
      <w:pPr>
        <w:ind w:left="660" w:right="30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extended the term during which we are scheduled to be the servicer on loans underlying the Rights to MSRs (along with the associated economic benefits) for two additional years or until April 30, 2020, whichever is earlier, which would depend on the sale date for the applicable Rights to MSRs (existing terms ranged from February 2018 through October 2019 prior to the amendment);</w:t>
      </w:r>
    </w:p>
    <w:p>
      <w:pPr>
        <w:jc w:val="both"/>
        <w:ind w:left="660" w:right="1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provided that such extension will not apply with respect to any servicing agreement that, as of the date that it was scheduled to terminate under our original agreements, is affected by an uncured termination event due to a downgrade of our servicer rating to “Below Average” or lower by S&amp;P or to “SQ4” or lower by Moody’s;</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provided that the parties will commence negotiating in good faith for an extension of the contract term and the servicing fees payable to us no later than six months prior to the end of the applicable term as extended pursuant to the amendment;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imposed a two-year standstill (until April 6, 2017 and subject to certain conditions) on the rights of NRZ to replace us as servicer.</w:t>
      </w:r>
    </w:p>
    <w:p>
      <w:pPr>
        <w:spacing w:after="0" w:line="103"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In the event there is a future downgrade of our S&amp;P servicer rating below our current rating of “Average,” we have also agreed to compensate NRZ, as successor to HLSS, for certain increased costs associated with its servicing advance financing facilities, including increased costs of funding, to the extent such costs are the direct result of such downgrade. The amendment provided that any such compensation, if required, shall not exceed $3.0 million for any calendar month or $36.0 million in the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92" w:right="259" w:bottom="1440" w:gutter="0" w:footer="0" w:header="0"/>
        </w:sectPr>
      </w:pPr>
    </w:p>
    <w:bookmarkStart w:id="14" w:name="page15"/>
    <w:bookmarkEnd w:id="14"/>
    <w:p>
      <w:pPr>
        <w:ind w:right="860"/>
        <w:spacing w:after="0" w:line="277" w:lineRule="auto"/>
        <w:rPr>
          <w:sz w:val="20"/>
          <w:szCs w:val="20"/>
          <w:color w:val="auto"/>
        </w:rPr>
      </w:pPr>
      <w:r>
        <w:rPr>
          <w:rFonts w:ascii="Arial" w:cs="Arial" w:eastAsia="Arial" w:hAnsi="Arial"/>
          <w:sz w:val="18"/>
          <w:szCs w:val="18"/>
          <w:color w:val="auto"/>
        </w:rPr>
        <w:t>aggregate. In such an event, NRZ has agreed to use commercially reasonable efforts to assist us in curing any potential cost increases by obtaining amendments to the relevant financing agreements.</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Consistent with our strategic plan to sell a significant portion of our Agency MSRs, we have announced or completed a number of asset sales, including the following:</w:t>
      </w:r>
    </w:p>
    <w:p>
      <w:pPr>
        <w:spacing w:after="0" w:line="62" w:lineRule="exact"/>
        <w:rPr>
          <w:sz w:val="20"/>
          <w:szCs w:val="20"/>
          <w:color w:val="auto"/>
        </w:rPr>
      </w:pPr>
    </w:p>
    <w:p>
      <w:pPr>
        <w:ind w:left="660" w:right="60" w:hanging="328"/>
        <w:spacing w:after="0" w:line="284"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March 2, 2015, we signed a letter of intent with JPMorgan Chase &amp; Co. for the sale of MSRs on a portfolio consisting of approximately 250,000 performing Agency loans owned by Fannie Mae with a total UPB of approximately $42.0 billion. On May 13, 2015, we signed a definitive agreement having obtained all necessary approvals. This transaction is scheduled to close on June 1, 2015. In connection with this transaction, on April 17, 2015, we entered into a letter agreement with Fannie Mae pursuant to which we will designate a portion of the expected proceeds as prepayments to secure against certain future obligations. These future obligations include repurchases, indemnifications and various fees. The total cash pre-payments are $15.4 million, including $3.2 million paid on April 27, 2015 with the remainder to be paid on June 1, 2015. Another $37.5 million of escrowed collateral will be set aside on June 1, 2015 to secure potential future obligations not covered by the prepaid amount.</w:t>
      </w:r>
    </w:p>
    <w:p>
      <w:pPr>
        <w:spacing w:after="0" w:line="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18, 2015, OLS and Green Tree Loan Servicing, a subsidiary of Walter Investment Management Corp. (collectively Walter), signed an agreement in principle for the sale of residential MSRs on a portfolio consisting of approximately 54,000 largely performing loans owned by Freddie Mac with a total UPB of approximately $9.2 billion. We executed a definitive agreement on April 29, 2015 and initial funding occurred on April 30, 2015. We expect that servicing will begin to transfer on or around June 16, 2015.</w:t>
      </w:r>
    </w:p>
    <w:p>
      <w:pPr>
        <w:spacing w:after="0" w:line="1" w:lineRule="exact"/>
        <w:rPr>
          <w:rFonts w:ascii="Arial" w:cs="Arial" w:eastAsia="Arial" w:hAnsi="Arial"/>
          <w:sz w:val="18"/>
          <w:szCs w:val="18"/>
          <w:color w:val="auto"/>
        </w:rPr>
      </w:pPr>
    </w:p>
    <w:p>
      <w:pPr>
        <w:ind w:left="660" w:right="18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March 24, 2015, we announced that OLS and Nationstar Mortgage LLC, an indirectly held, wholly owned subsidiary of Nationstar Mortgage Holdings Inc. (collectively, “Nationstar”), have agreed in principle to the sale of residential MSRs on a portfolio consisting of approximately 140,000 loans owned by Freddie Mac and Fannie Mae with a total UPB of approximately $24.9 billion. We closed on the sale of a portion of these MSRs, with a total UPB of approximately $2.7 billion, on April 30, 2015. The sale of the remaining MSRs, subject to a definitive agreement, approvals by Fannie Mae and FHFA and other customary conditions, is expected to close in June 2015.</w:t>
      </w:r>
    </w:p>
    <w:p>
      <w:pPr>
        <w:spacing w:after="0" w:line="1" w:lineRule="exact"/>
        <w:rPr>
          <w:rFonts w:ascii="Arial" w:cs="Arial" w:eastAsia="Arial" w:hAnsi="Arial"/>
          <w:sz w:val="17"/>
          <w:szCs w:val="17"/>
          <w:color w:val="auto"/>
        </w:rPr>
      </w:pPr>
    </w:p>
    <w:p>
      <w:pPr>
        <w:ind w:left="660" w:right="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31, 2015, OLS closed on a sale agreement with Nationstar for the sale of residential MSRs on a portfolio consisting of 76,000 performing loans owned by Freddie Mac with a UPB of $9.1 billion. Servicing was successfully transferred on April 16, 2015.</w:t>
      </w:r>
    </w:p>
    <w:p>
      <w:pPr>
        <w:spacing w:after="0" w:line="7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currently expect to receive approximately $860.0 million of proceeds from the above described transactions, subject in each case to necessary approvals and the satisfaction of closing conditions. We expect that the majority of such proceeds will be used for prepayments under our SSTL. In addition, on April 30, 2015, we announced agreements with Fannie Mae and Freddie Mac to sell portfolios of non-performing loan servicing. We expect these transactions to close over the coming months, with the first transfer having occurred on May 1, 2015. These transactions will include payments to the GSEs to assume the delinquent servicing and may, in some cases, include settlements of certain indemnification obligations. We expect these transactions to be cash flow positive as we will be reimbursed for outstanding advances.</w:t>
      </w:r>
    </w:p>
    <w:p>
      <w:pPr>
        <w:spacing w:after="0" w:line="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have been, and continue to, engage in communications with the ratings agencies and key stakeholders, including the GSEs, in connection with recent and planned future actions and developments, including the uncertainties identified above.</w:t>
      </w:r>
    </w:p>
    <w:p>
      <w:pPr>
        <w:spacing w:after="0" w:line="6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also continue to work with our regulators, including the CFPB and state regulators and attorneys general, on enhancing our risk and compliance management systems and remediating deficiencies. We are currently unaware of any significant unresolved issues with state agencies and not aware of, nor anticipating, any material regulatory fines, penalties or settlements. We are not aware of any pending or threatened actions to suspend or revoke any state licenses.</w:t>
      </w:r>
    </w:p>
    <w:p>
      <w:pPr>
        <w:spacing w:after="0" w:line="79" w:lineRule="exact"/>
        <w:rPr>
          <w:sz w:val="20"/>
          <w:szCs w:val="20"/>
          <w:color w:val="auto"/>
        </w:rPr>
      </w:pPr>
    </w:p>
    <w:p>
      <w:pPr>
        <w:ind w:right="20" w:firstLine="324"/>
        <w:spacing w:after="0" w:line="375" w:lineRule="auto"/>
        <w:rPr>
          <w:sz w:val="20"/>
          <w:szCs w:val="20"/>
          <w:color w:val="auto"/>
        </w:rPr>
      </w:pPr>
      <w:r>
        <w:rPr>
          <w:rFonts w:ascii="Arial" w:cs="Arial" w:eastAsia="Arial" w:hAnsi="Arial"/>
          <w:sz w:val="18"/>
          <w:szCs w:val="18"/>
          <w:color w:val="auto"/>
        </w:rPr>
        <w:t xml:space="preserve">There can be no assurances that management’s recent and future actions will be successful in mitigating the above risks and uncertainties in our business. </w:t>
      </w:r>
      <w:r>
        <w:rPr>
          <w:rFonts w:ascii="Arial" w:cs="Arial" w:eastAsia="Arial" w:hAnsi="Arial"/>
          <w:sz w:val="18"/>
          <w:szCs w:val="18"/>
          <w:b w:val="1"/>
          <w:bCs w:val="1"/>
          <w:color w:val="auto"/>
        </w:rPr>
        <w:t>Note 1B - Basis of Presentation</w:t>
      </w:r>
    </w:p>
    <w:p>
      <w:pPr>
        <w:spacing w:after="0" w:line="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months ended March 31, 2015 are not necessarily indicative of the results that may be expected for any other interim period or for the year ending December 31, 2015. The unaudited consolidated financial statements presented herein should be read in conjunction with the audited consolidated financial statements and related notes thereto included in our Annual Report on Form 10-K for the year ended December 31, 2014.</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92"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Within the Other income (expense) section of the unaudited Consolidated Statement of Operations for the three months ended March 31, 2014, we reclassified Interest income from Other, net to a separate line item to conform to the current year presentation.</w:t>
      </w:r>
    </w:p>
    <w:p>
      <w:pPr>
        <w:spacing w:after="0" w:line="6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Certain insignificant amounts in the unaudited Consolidated Statement of Cash Flows for the three months ended March 31, 2014 have been reclassified to conform to the current year presentation. These reclassifications had no impact on our consolidated cash flows from operating, investing or financing activities.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and representation and warranty and other indemnification obligations. In developing estimates and assumptions, management uses all available information; however, actual results could materially differ because of uncertainties associated with estimating the amounts, timing and likelihood of possible outcomes.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on the unaudited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the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report the gain or loss on the transfer of the loans held for sale in Gain on loans held for sale, net in the unaudited Consolidated Statements of Operations along with the changes in fair value of the loans and the gain or loss on any related derivatives. We include all changes in loans held for sale and related derivative balances in operating activities in the unaudited Consolidated Statements of Cash Flows.</w:t>
      </w:r>
    </w:p>
    <w:p>
      <w:pPr>
        <w:spacing w:after="0" w:line="5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three months ended March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1,070,772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1,534,251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1,071,619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1,539,445</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In connection with these transfers, we retained MSRs of $8.5 million and $11.6 million during the three months ended March 31, 2015 and 2014, respectively. We initially record the MSRs at fair value and subsequently account for them at amortized cost.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88" w:right="239" w:bottom="1440" w:gutter="0" w:footer="0" w:header="0"/>
        </w:sectPr>
      </w:pPr>
    </w:p>
    <w:bookmarkStart w:id="16" w:name="page17"/>
    <w:bookmarkEnd w:id="16"/>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The following table presents the carrying amounts of our assets that relate to our continuing involvement with forward loans that we have transferred with servicing rights retained as well as our maximum exposure to loss including the unpaid principal balance (UPB) of the transferred loans at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85,215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82,542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 (1)</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10,345,586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9,353,187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10,433,938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9,439,805</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UPB of the loans transferred is the maximum exposure to loss under our standard representations and warranties obligations.</w:t>
      </w:r>
    </w:p>
    <w:p>
      <w:pPr>
        <w:spacing w:after="0" w:line="117"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At March 31, 2015 and December 31, 2014, 4.9% and 5.1%, respectively, of the transferred residential loans that we service were 60 days or more past due. During the three months ended March 31, 2015, there were no charge-offs, net of recoveries, associated with these transferred loans.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an approved issuer of Ginnie Mae Home Equity Conversion Mortgage-Backed Securities (HMBS) that are guaranteed by Ginnie Mae. We originate Home Equity Conversion Mortgages (HECMs,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HECMs do not qualify for sale accounting, and therefore, we account for these transfers as financings. Under this accounting treatment, the HECMs are classified as Loans held for investment - reverse mortgages, at fair value, on our unaudited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for standard representations and warranties and our contractual obligation to service the HECMs and the HMBS.</w:t>
      </w:r>
    </w:p>
    <w:p>
      <w:pPr>
        <w:spacing w:after="0" w:line="7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elected to measure the HECMs and HMBS-related borrowings at fair value. The changes in fair value of the HECMs and HMBS-related borrowings are included in Other revenues in our unaudited Consolidated Statements of Operations. Included in net fair value gains on the HECMs and related HMBS borrowings are the interest income that we expect to be collected on the HECMs and the interest expense that we expect to be paid on the HMBS-related borrowings. We report originations and collections of HECMs in investing activities in the unaudited Consolidated Statements of Cash Flows. We report net fair value gains on HECMs and the related HMBS borrowings as an adjustment to the net cash provided by or used in operating activities in the unaudited Consolidated Statements of Cash Flows. Proceeds from securitizations of HECMs and payments on HMBS-related borrowings are included in financing activities in the unaudited Consolidated Statements of Cash Flows.</w:t>
      </w:r>
    </w:p>
    <w:p>
      <w:pPr>
        <w:spacing w:after="0" w:line="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At March 31, 2015 and December 31, 2014, we had HMBS-related borrowings of $1.7 billion and $1.4 billion and HECMs pledged as collateral to the pools of $1.8 billion and $1.6 billion,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w:t>
      </w:r>
    </w:p>
    <w:p>
      <w:pPr>
        <w:spacing w:after="0" w:line="7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make the transfers to these SPEs under the terms of our advance financing facility agreements. We classify the transferred advances on our unaudited Consolidated Balance Sheets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 debt and have no recourse against Ocwen. The assets and liabilities of the advance financing SPEs are comprised solely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7" w:name="page18"/>
    <w:bookmarkEnd w:id="17"/>
    <w:p>
      <w:pPr>
        <w:ind w:right="920"/>
        <w:spacing w:after="0" w:line="277" w:lineRule="auto"/>
        <w:rPr>
          <w:sz w:val="20"/>
          <w:szCs w:val="20"/>
          <w:color w:val="auto"/>
        </w:rPr>
      </w:pPr>
      <w:r>
        <w:rPr>
          <w:rFonts w:ascii="Arial" w:cs="Arial" w:eastAsia="Arial" w:hAnsi="Arial"/>
          <w:sz w:val="18"/>
          <w:szCs w:val="18"/>
          <w:color w:val="auto"/>
        </w:rPr>
        <w:t>Match funded advances, Debt service accounts, Match funded liabilities and amounts due to affiliates. Amounts due to affiliates are eliminated in consolidation in our unaudited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92" w:right="259" w:bottom="1440" w:gutter="0" w:footer="0" w:header="0"/>
        </w:sectPr>
      </w:pPr>
    </w:p>
    <w:bookmarkStart w:id="18" w:name="page19"/>
    <w:bookmarkEnd w:id="18"/>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460"/>
              <w:spacing w:after="0"/>
              <w:rPr>
                <w:sz w:val="20"/>
                <w:szCs w:val="20"/>
                <w:color w:val="auto"/>
              </w:rPr>
            </w:pPr>
            <w:r>
              <w:rPr>
                <w:rFonts w:ascii="Arial" w:cs="Arial" w:eastAsia="Arial" w:hAnsi="Arial"/>
                <w:sz w:val="18"/>
                <w:szCs w:val="18"/>
                <w:b w:val="1"/>
                <w:bCs w:val="1"/>
                <w:color w:val="auto"/>
              </w:rPr>
              <w:t>March 31, 2015</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339,508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339,508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68,489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87,492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407,997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407,997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488,612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488,612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tcPr>
          <w:p>
            <w:pPr>
              <w:ind w:left="280"/>
              <w:spacing w:after="0"/>
              <w:rPr>
                <w:sz w:val="20"/>
                <w:szCs w:val="20"/>
                <w:color w:val="auto"/>
              </w:rPr>
            </w:pPr>
            <w:r>
              <w:rPr>
                <w:rFonts w:ascii="Arial" w:cs="Arial" w:eastAsia="Arial" w:hAnsi="Arial"/>
                <w:sz w:val="18"/>
                <w:szCs w:val="18"/>
                <w:color w:val="auto"/>
                <w:w w:val="93"/>
              </w:rPr>
              <w:t>Loans held for investment - Reverse mortgages,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1,808,141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1,808,141</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1,550,141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1,550,141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3,195,505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3,195,505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3,303,356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3,303,356</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Receivables, net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299,836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299,836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270,596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Mortgage-backed securities,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7,701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7,701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Match funded liabilities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2,000,676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2,000,676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2,090,247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1,702,397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1,702,397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1,444,252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1,444,252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Financing liability - MSRs pledged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594,495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594,495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614,441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614,441</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191,715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172,610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199,948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189,648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2,488,607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2,469,502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2,258,641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2,248,341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80"/>
              <w:spacing w:after="0"/>
              <w:rPr>
                <w:sz w:val="20"/>
                <w:szCs w:val="20"/>
                <w:color w:val="auto"/>
              </w:rPr>
            </w:pPr>
            <w:r>
              <w:rPr>
                <w:rFonts w:ascii="Arial" w:cs="Arial" w:eastAsia="Arial" w:hAnsi="Arial"/>
                <w:sz w:val="18"/>
                <w:szCs w:val="18"/>
                <w:color w:val="auto"/>
              </w:rPr>
              <w:t>Other secured borrowings: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Senior secured term loan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1,196,498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1,155,166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1,273,219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1,198,227</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407,209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407,209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460,472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460,472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1,603,707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1,562,375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1,733,691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1,658,699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unsecured notes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304,500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321,563</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assets (liabilities) (a):</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Interest Rate Lock Commitments (IRLCs)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9,516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MBS trades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Interest rate caps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MSRs: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MSRs,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897,797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897,797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MSRs, at amortized cost (c) (d)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922,854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1,064,134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1,820,091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2,237,703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MSRs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1,820,651</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1,961,931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1,913,992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2,331,604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Measured at fair value on a recurring basis.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Measured at fair value on a non-recurring basis.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but not carried, at fair value.</w:t>
      </w:r>
    </w:p>
    <w:p>
      <w:pPr>
        <w:spacing w:after="0" w:line="9" w:lineRule="exact"/>
        <w:rPr>
          <w:rFonts w:ascii="Arial" w:cs="Arial" w:eastAsia="Arial" w:hAnsi="Arial"/>
          <w:sz w:val="18"/>
          <w:szCs w:val="18"/>
          <w:color w:val="auto"/>
        </w:rPr>
      </w:pPr>
    </w:p>
    <w:p>
      <w:pPr>
        <w:ind w:left="500" w:right="80" w:hanging="492"/>
        <w:spacing w:after="0" w:line="323"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balance at March 31, 2015 includes our impaired government-insured stratum of amortization method MSRs, which is measured at fair value on a non-recurring basis. The carrying value of this stratum at March 31, 2015 was $127.1 million, net of a valuation allowance of $17.8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9" w:name="page20"/>
    <w:bookmarkEnd w:id="19"/>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Financing</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Mortgage-</w:t>
            </w:r>
          </w:p>
        </w:tc>
        <w:tc>
          <w:tcPr>
            <w:tcW w:w="24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Liability -</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Backed</w:t>
            </w:r>
          </w:p>
        </w:tc>
        <w:tc>
          <w:tcPr>
            <w:tcW w:w="24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MSRs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Securities</w:t>
            </w:r>
          </w:p>
        </w:tc>
        <w:tc>
          <w:tcPr>
            <w:tcW w:w="24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Pledged</w:t>
            </w:r>
          </w:p>
        </w:tc>
        <w:tc>
          <w:tcPr>
            <w:tcW w:w="2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2520" w:type="dxa"/>
            <w:vAlign w:val="bottom"/>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w w:val="92"/>
              </w:rPr>
              <w:t>Three months ended March 31,</w:t>
            </w:r>
          </w:p>
        </w:tc>
        <w:tc>
          <w:tcPr>
            <w:tcW w:w="1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61"/>
        </w:trPr>
        <w:tc>
          <w:tcPr>
            <w:tcW w:w="25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spacing w:after="0"/>
              <w:rPr>
                <w:sz w:val="22"/>
                <w:szCs w:val="22"/>
                <w:color w:val="auto"/>
              </w:rPr>
            </w:pPr>
          </w:p>
        </w:tc>
      </w:tr>
      <w:tr>
        <w:trPr>
          <w:trHeight w:val="237"/>
        </w:trPr>
        <w:tc>
          <w:tcPr>
            <w:tcW w:w="2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1,550,141</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(1,444,252)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7,335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(614,441)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(406,749)</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37"/>
        </w:trPr>
        <w:tc>
          <w:tcPr>
            <w:tcW w:w="25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235,271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(238,615)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(4,513)</w:t>
            </w:r>
          </w:p>
        </w:tc>
      </w:tr>
      <w:tr>
        <w:trPr>
          <w:trHeight w:val="229"/>
        </w:trPr>
        <w:tc>
          <w:tcPr>
            <w:tcW w:w="2520" w:type="dxa"/>
            <w:vAlign w:val="bottom"/>
          </w:tcPr>
          <w:p>
            <w:pPr>
              <w:ind w:left="280"/>
              <w:spacing w:after="0"/>
              <w:rPr>
                <w:sz w:val="20"/>
                <w:szCs w:val="20"/>
                <w:color w:val="auto"/>
              </w:rPr>
            </w:pPr>
            <w:r>
              <w:rPr>
                <w:rFonts w:ascii="Arial" w:cs="Arial" w:eastAsia="Arial" w:hAnsi="Arial"/>
                <w:sz w:val="18"/>
                <w:szCs w:val="18"/>
                <w:color w:val="auto"/>
              </w:rPr>
              <w:t>Transfer from MSRs, at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520" w:type="dxa"/>
            <w:vAlign w:val="bottom"/>
          </w:tcPr>
          <w:p>
            <w:pPr>
              <w:ind w:left="440"/>
              <w:spacing w:after="0"/>
              <w:rPr>
                <w:sz w:val="20"/>
                <w:szCs w:val="20"/>
                <w:color w:val="auto"/>
              </w:rPr>
            </w:pPr>
            <w:r>
              <w:rPr>
                <w:rFonts w:ascii="Arial" w:cs="Arial" w:eastAsia="Arial" w:hAnsi="Arial"/>
                <w:sz w:val="18"/>
                <w:szCs w:val="18"/>
                <w:color w:val="auto"/>
              </w:rPr>
              <w:t>amortized cost</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839,157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839,157</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52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Transfer from loans held for</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37"/>
        </w:trPr>
        <w:tc>
          <w:tcPr>
            <w:tcW w:w="25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sale, at fair value</w:t>
            </w:r>
          </w:p>
        </w:tc>
        <w:tc>
          <w:tcPr>
            <w:tcW w:w="14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Settlements (1)</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(26,233)</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25,985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19,946</w:t>
            </w:r>
          </w:p>
        </w:tc>
        <w:tc>
          <w:tcPr>
            <w:tcW w:w="22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19,698</w:t>
            </w:r>
          </w:p>
        </w:tc>
      </w:tr>
      <w:tr>
        <w:trPr>
          <w:trHeight w:val="237"/>
        </w:trPr>
        <w:tc>
          <w:tcPr>
            <w:tcW w:w="2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209,038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(212,630)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19,946</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837,071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853,425</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25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gains and (losses) (2):</w:t>
            </w:r>
          </w:p>
        </w:tc>
        <w:tc>
          <w:tcPr>
            <w:tcW w:w="1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48,962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(29,726)</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520" w:type="dxa"/>
            <w:vAlign w:val="bottom"/>
            <w:shd w:val="clear" w:color="auto" w:fill="EAF9E8"/>
          </w:tcPr>
          <w:p>
            <w:pPr>
              <w:ind w:left="28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57"/>
        </w:trPr>
        <w:tc>
          <w:tcPr>
            <w:tcW w:w="25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366</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(29,726)</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57"/>
        </w:trPr>
        <w:tc>
          <w:tcPr>
            <w:tcW w:w="25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1,808,141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(1,702,397)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7,701</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(594,495)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897,797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416,950</w:t>
            </w: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62"/>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Financing</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Mortgage-</w:t>
            </w:r>
          </w:p>
        </w:tc>
        <w:tc>
          <w:tcPr>
            <w:tcW w:w="22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Liability -</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Backed</w:t>
            </w:r>
          </w:p>
        </w:tc>
        <w:tc>
          <w:tcPr>
            <w:tcW w:w="22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MSRs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Pledged</w:t>
            </w:r>
          </w:p>
        </w:tc>
        <w:tc>
          <w:tcPr>
            <w:tcW w:w="2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2520" w:type="dxa"/>
            <w:vAlign w:val="bottom"/>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w w:val="92"/>
              </w:rPr>
              <w:t>Three months ended March 31,</w:t>
            </w:r>
          </w:p>
        </w:tc>
        <w:tc>
          <w:tcPr>
            <w:tcW w:w="1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61"/>
        </w:trPr>
        <w:tc>
          <w:tcPr>
            <w:tcW w:w="25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spacing w:after="0"/>
              <w:rPr>
                <w:sz w:val="22"/>
                <w:szCs w:val="22"/>
                <w:color w:val="auto"/>
              </w:rPr>
            </w:pPr>
          </w:p>
        </w:tc>
      </w:tr>
      <w:tr>
        <w:trPr>
          <w:trHeight w:val="237"/>
        </w:trPr>
        <w:tc>
          <w:tcPr>
            <w:tcW w:w="2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618,018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(615,576)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(633,804)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(514,891)</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37"/>
        </w:trPr>
        <w:tc>
          <w:tcPr>
            <w:tcW w:w="25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7,677</w:t>
            </w:r>
          </w:p>
        </w:tc>
        <w:tc>
          <w:tcPr>
            <w:tcW w:w="2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7,677</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176,658</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(226,626)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(49,944)</w:t>
            </w:r>
          </w:p>
        </w:tc>
      </w:tr>
      <w:tr>
        <w:trPr>
          <w:trHeight w:val="229"/>
        </w:trPr>
        <w:tc>
          <w:tcPr>
            <w:tcW w:w="2520" w:type="dxa"/>
            <w:vAlign w:val="bottom"/>
          </w:tcPr>
          <w:p>
            <w:pPr>
              <w:ind w:left="280"/>
              <w:spacing w:after="0"/>
              <w:rPr>
                <w:sz w:val="20"/>
                <w:szCs w:val="20"/>
                <w:color w:val="auto"/>
              </w:rPr>
            </w:pPr>
            <w:r>
              <w:rPr>
                <w:rFonts w:ascii="Arial" w:cs="Arial" w:eastAsia="Arial" w:hAnsi="Arial"/>
                <w:sz w:val="18"/>
                <w:szCs w:val="18"/>
                <w:color w:val="auto"/>
              </w:rPr>
              <w:t>Transfer from loans held for</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520" w:type="dxa"/>
            <w:vAlign w:val="bottom"/>
          </w:tcPr>
          <w:p>
            <w:pPr>
              <w:ind w:left="440"/>
              <w:spacing w:after="0"/>
              <w:rPr>
                <w:sz w:val="20"/>
                <w:szCs w:val="20"/>
                <w:color w:val="auto"/>
              </w:rPr>
            </w:pPr>
            <w:r>
              <w:rPr>
                <w:rFonts w:ascii="Arial" w:cs="Arial" w:eastAsia="Arial" w:hAnsi="Arial"/>
                <w:sz w:val="18"/>
                <w:szCs w:val="18"/>
                <w:color w:val="auto"/>
              </w:rPr>
              <w:t>sale, at fair value</w:t>
            </w:r>
          </w:p>
        </w:tc>
        <w:tc>
          <w:tcPr>
            <w:tcW w:w="1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110,874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110,874</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(9,238)</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5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273,503</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(221,240)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7,677</w:t>
            </w:r>
          </w:p>
        </w:tc>
        <w:tc>
          <w:tcPr>
            <w:tcW w:w="2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59,369</w:t>
            </w:r>
          </w:p>
        </w:tc>
      </w:tr>
      <w:tr>
        <w:trPr>
          <w:trHeight w:val="209"/>
        </w:trPr>
        <w:tc>
          <w:tcPr>
            <w:tcW w:w="2520" w:type="dxa"/>
            <w:vAlign w:val="bottom"/>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gains and (losses):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31,943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(33,646)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(5,203)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(7,204)</w:t>
            </w:r>
          </w:p>
        </w:tc>
      </w:tr>
      <w:tr>
        <w:trPr>
          <w:trHeight w:val="229"/>
        </w:trPr>
        <w:tc>
          <w:tcPr>
            <w:tcW w:w="2520" w:type="dxa"/>
            <w:vAlign w:val="bottom"/>
          </w:tcPr>
          <w:p>
            <w:pPr>
              <w:ind w:left="280"/>
              <w:spacing w:after="0"/>
              <w:rPr>
                <w:sz w:val="20"/>
                <w:szCs w:val="20"/>
                <w:color w:val="auto"/>
              </w:rPr>
            </w:pPr>
            <w:r>
              <w:rPr>
                <w:rFonts w:ascii="Arial" w:cs="Arial" w:eastAsia="Arial" w:hAnsi="Arial"/>
                <w:sz w:val="18"/>
                <w:szCs w:val="18"/>
                <w:color w:val="auto"/>
              </w:rPr>
              <w:t>Included in Other</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520" w:type="dxa"/>
            <w:vAlign w:val="bottom"/>
          </w:tcPr>
          <w:p>
            <w:pPr>
              <w:ind w:left="44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5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31,943</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(33,646)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(5,203)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(7,204)</w:t>
            </w:r>
          </w:p>
        </w:tc>
      </w:tr>
      <w:tr>
        <w:trPr>
          <w:trHeight w:val="209"/>
        </w:trPr>
        <w:tc>
          <w:tcPr>
            <w:tcW w:w="2520" w:type="dxa"/>
            <w:vAlign w:val="bottom"/>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923,464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(870,462)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rPr>
              <w:t>7,521</w:t>
            </w:r>
          </w:p>
        </w:tc>
        <w:tc>
          <w:tcPr>
            <w:tcW w:w="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(634,399)</w:t>
            </w:r>
          </w:p>
        </w:tc>
        <w:tc>
          <w:tcPr>
            <w:tcW w:w="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110,826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(462,726)</w:t>
            </w: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00" w:right="40" w:hanging="492"/>
        <w:spacing w:after="0" w:line="256"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of a transfer of servicing to another party related to Rights to MSRs sold to HLSS, and now NRZ, we are required to reimburse HLSS, and now NRZ, at predetermined contractual rates for the loss of servicing revenues. Settlements for Financing liability - MSRs pledged for the three months ended March 31, 2015 includes $2.2 million of such reimbursements.</w:t>
      </w: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losses attributable to derivative financial instruments still held at March 31, 2015 were $0.4 million for the three months ended March 31, 2015.</w:t>
      </w:r>
    </w:p>
    <w:p>
      <w:pPr>
        <w:spacing w:after="0" w:line="126"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50" w:right="239" w:bottom="1440" w:gutter="0" w:footer="0" w:header="0"/>
        </w:sectPr>
      </w:pPr>
    </w:p>
    <w:bookmarkStart w:id="21" w:name="page22"/>
    <w:bookmarkEnd w:id="21"/>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elected to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March 31, 2015 valuation include:</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Life in years ranging from 6.47 to 10.48 (weighted average of 6.96);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Conditional repayment rate ranging from 4.81% to 53.75% (weighted average of 19.25%);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 rate of 2.80%.</w:t>
      </w:r>
    </w:p>
    <w:p>
      <w:pPr>
        <w:spacing w:after="0" w:line="10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internal understanding of the processes and assumptions used to develop the prices based on our ongoing due diligence, which includes regular discussions with the valuation experts. We believe that the procedures executed by the valuation experts, supported by our internal verification and analytical procedures, provide assurance that the prices used in our Consolidated Financial Statements comply with the accounting guidance for fair value measurements and disclosures and reflect the assumptions that a market participant would use.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 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38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Mortgage prepayment speeds</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w w:val="90"/>
              </w:rPr>
              <w:t>Interest rate used for computing the cost of financing</w:t>
            </w:r>
          </w:p>
        </w:tc>
      </w:tr>
      <w:tr>
        <w:trPr>
          <w:trHeight w:val="230"/>
        </w:trPr>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servicing advances</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Cost of servicing</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Interest rate used for computing float earnings</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Compensating interest expense</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Delinquency rates</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Collection rate of other ancillary fees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440" w:firstLine="324"/>
        <w:spacing w:after="0" w:line="312" w:lineRule="auto"/>
        <w:rPr>
          <w:sz w:val="20"/>
          <w:szCs w:val="20"/>
          <w:color w:val="auto"/>
        </w:rPr>
      </w:pPr>
      <w:r>
        <w:rPr>
          <w:rFonts w:ascii="Arial" w:cs="Arial" w:eastAsia="Arial" w:hAnsi="Arial"/>
          <w:sz w:val="16"/>
          <w:szCs w:val="16"/>
          <w:color w:val="auto"/>
        </w:rPr>
        <w:t>We estimate the fair value of MSRs carried at amortized cost using a process that involves either actual sale prices obtained or the use of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30"/>
        </w:trPr>
        <w:tc>
          <w:tcPr>
            <w:tcW w:w="9440" w:type="dxa"/>
            <w:vAlign w:val="bottom"/>
          </w:tcPr>
          <w:p>
            <w:pPr>
              <w:ind w:left="280"/>
              <w:spacing w:after="0"/>
              <w:rPr>
                <w:sz w:val="20"/>
                <w:szCs w:val="20"/>
                <w:color w:val="auto"/>
              </w:rPr>
            </w:pPr>
            <w:r>
              <w:rPr>
                <w:rFonts w:ascii="Arial" w:cs="Arial" w:eastAsia="Arial" w:hAnsi="Arial"/>
                <w:sz w:val="18"/>
                <w:szCs w:val="18"/>
                <w:color w:val="auto"/>
              </w:rPr>
              <w:t>The more significant assumptions used in the March 31, 2015 valuation include:</w:t>
            </w: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51"/>
        </w:trPr>
        <w:tc>
          <w:tcPr>
            <w:tcW w:w="9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94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5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12.57%</w:t>
            </w:r>
          </w:p>
        </w:tc>
      </w:tr>
      <w:tr>
        <w:trPr>
          <w:trHeight w:val="243"/>
        </w:trPr>
        <w:tc>
          <w:tcPr>
            <w:tcW w:w="944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5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10.81%</w:t>
            </w:r>
          </w:p>
        </w:tc>
      </w:tr>
      <w:tr>
        <w:trPr>
          <w:trHeight w:val="27"/>
        </w:trPr>
        <w:tc>
          <w:tcPr>
            <w:tcW w:w="9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4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5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5-year swap</w:t>
            </w:r>
          </w:p>
        </w:tc>
      </w:tr>
      <w:tr>
        <w:trPr>
          <w:trHeight w:val="243"/>
        </w:trPr>
        <w:tc>
          <w:tcPr>
            <w:tcW w:w="944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5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5-year swap</w:t>
            </w:r>
          </w:p>
        </w:tc>
      </w:tr>
      <w:tr>
        <w:trPr>
          <w:trHeight w:val="27"/>
        </w:trPr>
        <w:tc>
          <w:tcPr>
            <w:tcW w:w="9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9440" w:type="dxa"/>
            <w:vAlign w:val="bottom"/>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52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9.38%</w:t>
            </w:r>
          </w:p>
        </w:tc>
      </w:tr>
      <w:tr>
        <w:trPr>
          <w:trHeight w:val="270"/>
        </w:trPr>
        <w:tc>
          <w:tcPr>
            <w:tcW w:w="9440" w:type="dxa"/>
            <w:vAlign w:val="bottom"/>
            <w:shd w:val="clear" w:color="auto" w:fill="EAF9E8"/>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52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86</w:t>
            </w:r>
          </w:p>
        </w:tc>
      </w:tr>
      <w:tr>
        <w:trPr>
          <w:trHeight w:val="27"/>
        </w:trPr>
        <w:tc>
          <w:tcPr>
            <w:tcW w:w="9440" w:type="dxa"/>
            <w:vAlign w:val="bottom"/>
            <w:shd w:val="clear" w:color="auto" w:fill="EAF9E8"/>
          </w:tcPr>
          <w:p>
            <w:pPr>
              <w:spacing w:after="0"/>
              <w:rPr>
                <w:sz w:val="2"/>
                <w:szCs w:val="2"/>
                <w:color w:val="auto"/>
              </w:rPr>
            </w:pPr>
          </w:p>
        </w:tc>
        <w:tc>
          <w:tcPr>
            <w:tcW w:w="520" w:type="dxa"/>
            <w:vAlign w:val="bottom"/>
            <w:shd w:val="clear" w:color="auto" w:fill="EAF9E8"/>
          </w:tcPr>
          <w:p>
            <w:pPr>
              <w:spacing w:after="0"/>
              <w:rPr>
                <w:sz w:val="2"/>
                <w:szCs w:val="2"/>
                <w:color w:val="auto"/>
              </w:rPr>
            </w:pPr>
          </w:p>
        </w:tc>
        <w:tc>
          <w:tcPr>
            <w:tcW w:w="13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the underlying loans into the applicable strata. In response to the significant change in the composition of our MSR portfolio as a result of recent acquisitions, our strata are defined as conventional and government-insured.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7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carried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for their model validation.</w:t>
      </w:r>
    </w:p>
    <w:p>
      <w:pPr>
        <w:spacing w:after="0" w:line="22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for Non-Agency MSRs via a market rate indexed cost of advance funding. Other key assumptions used in the valuation of these MSRs include delinquency rates and discount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assumptions used in the March 31, 2015 valuation include: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Agency</w:t>
            </w:r>
          </w:p>
        </w:tc>
        <w:tc>
          <w:tcPr>
            <w:tcW w:w="26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Non Agency</w:t>
            </w:r>
          </w:p>
        </w:tc>
      </w:tr>
      <w:tr>
        <w:trPr>
          <w:trHeight w:val="27"/>
        </w:trPr>
        <w:tc>
          <w:tcPr>
            <w:tcW w:w="76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30.02%</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5-year swap</w:t>
            </w:r>
          </w:p>
        </w:tc>
        <w:tc>
          <w:tcPr>
            <w:tcW w:w="26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1ML plus 3.5%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5-year swap</w:t>
            </w:r>
          </w:p>
        </w:tc>
        <w:tc>
          <w:tcPr>
            <w:tcW w:w="26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1ML</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660" w:type="dxa"/>
            <w:vAlign w:val="bottom"/>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12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14.95%</w:t>
            </w:r>
          </w:p>
        </w:tc>
      </w:tr>
      <w:tr>
        <w:trPr>
          <w:trHeight w:val="270"/>
        </w:trPr>
        <w:tc>
          <w:tcPr>
            <w:tcW w:w="7660" w:type="dxa"/>
            <w:vAlign w:val="bottom"/>
            <w:shd w:val="clear" w:color="auto" w:fill="EAF9E8"/>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EAF9E8"/>
          </w:tcPr>
          <w:p>
            <w:pPr>
              <w:spacing w:after="0"/>
              <w:rPr>
                <w:sz w:val="23"/>
                <w:szCs w:val="23"/>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339</w:t>
            </w:r>
          </w:p>
        </w:tc>
      </w:tr>
      <w:tr>
        <w:trPr>
          <w:trHeight w:val="27"/>
        </w:trPr>
        <w:tc>
          <w:tcPr>
            <w:tcW w:w="76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4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50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w:t>
      </w:r>
    </w:p>
    <w:p>
      <w:pPr>
        <w:spacing w:after="0" w:line="16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3" w:name="page24"/>
    <w:bookmarkEnd w:id="23"/>
    <w:p>
      <w:pPr>
        <w:ind w:right="60" w:firstLine="324"/>
        <w:spacing w:after="0" w:line="264"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At March 31, 2015 and December 31, 2014, the interest on all borrowings under match funded facilities was based on a variable rate adjusted regularly using a market index, and therefore, the carrying value approximates fair value.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March 31, 2015 valuation include:</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Life in years ranging from 4.90 to 10.48 (weighted average of 5.61);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Conditional repayment rate ranging from 4.81% to 53.75% (weighted average of 19.25%);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Discount rate of 2.05%.</w:t>
      </w:r>
    </w:p>
    <w:p>
      <w:pPr>
        <w:spacing w:after="0" w:line="103" w:lineRule="exact"/>
        <w:rPr>
          <w:sz w:val="20"/>
          <w:szCs w:val="20"/>
          <w:color w:val="auto"/>
        </w:rPr>
      </w:pPr>
    </w:p>
    <w:p>
      <w:pPr>
        <w:ind w:right="164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w:t>
      </w:r>
    </w:p>
    <w:p>
      <w:pPr>
        <w:spacing w:after="0" w:line="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periodically sell Rights to MSRs. Because we have retained legal title to the MSRs, the sales of Rights to MSRs are accounted for as financings. We initially establish the value of the Financing Liability - MSRs Pledged based on the price at which the Rights to MSRs are sold. Thereafter, the carrying value of the Financing Liability - MSRs pledged is adjusted to fair value at each reporting date. We determine fair value by applying the price of the underlying MSRs to the remaining principal balance related to the underlying MSRs. Since we have elected fair value for our portfolio of private-label MSRs, future fair value changes in the Financing Liability - MSRs Pledged will be largely offset by changes in the fair value of the related MSRs.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ind w:left="340"/>
              <w:spacing w:after="0"/>
              <w:rPr>
                <w:sz w:val="20"/>
                <w:szCs w:val="20"/>
                <w:color w:val="auto"/>
              </w:rPr>
            </w:pPr>
            <w:r>
              <w:rPr>
                <w:rFonts w:ascii="Arial" w:cs="Arial" w:eastAsia="Arial" w:hAnsi="Arial"/>
                <w:sz w:val="18"/>
                <w:szCs w:val="18"/>
                <w:color w:val="auto"/>
                <w:w w:val="92"/>
              </w:rPr>
              <w:t>The more significant assumptions used in determination of the price of the underlying MSRs at March 31, 2015 include:</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35"/>
        </w:trPr>
        <w:tc>
          <w:tcPr>
            <w:tcW w:w="9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50"/>
        </w:trPr>
        <w:tc>
          <w:tcPr>
            <w:tcW w:w="91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3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17.83%</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31.00%</w:t>
            </w:r>
          </w:p>
        </w:tc>
      </w:tr>
      <w:tr>
        <w:trPr>
          <w:trHeight w:val="27"/>
        </w:trPr>
        <w:tc>
          <w:tcPr>
            <w:tcW w:w="9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3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1ML plus 3.5%</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38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1ML</w:t>
            </w:r>
          </w:p>
        </w:tc>
      </w:tr>
      <w:tr>
        <w:trPr>
          <w:trHeight w:val="27"/>
        </w:trPr>
        <w:tc>
          <w:tcPr>
            <w:tcW w:w="9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9180" w:type="dxa"/>
            <w:vAlign w:val="bottom"/>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380" w:type="dxa"/>
            <w:vAlign w:val="bottom"/>
            <w:shd w:val="clear" w:color="auto" w:fill="EAF9E8"/>
          </w:tcPr>
          <w:p>
            <w:pPr>
              <w:spacing w:after="0"/>
              <w:rPr>
                <w:sz w:val="21"/>
                <w:szCs w:val="21"/>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15.22%</w:t>
            </w:r>
          </w:p>
        </w:tc>
      </w:tr>
      <w:tr>
        <w:trPr>
          <w:trHeight w:val="270"/>
        </w:trPr>
        <w:tc>
          <w:tcPr>
            <w:tcW w:w="9180" w:type="dxa"/>
            <w:vAlign w:val="bottom"/>
            <w:shd w:val="clear" w:color="auto" w:fill="EAF9E8"/>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3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345</w:t>
            </w:r>
          </w:p>
        </w:tc>
      </w:tr>
      <w:tr>
        <w:trPr>
          <w:trHeight w:val="27"/>
        </w:trPr>
        <w:tc>
          <w:tcPr>
            <w:tcW w:w="918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4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2180" w:firstLine="324"/>
        <w:spacing w:after="0" w:line="375" w:lineRule="auto"/>
        <w:rPr>
          <w:sz w:val="20"/>
          <w:szCs w:val="20"/>
          <w:color w:val="auto"/>
        </w:rPr>
      </w:pPr>
      <w:r>
        <w:rPr>
          <w:rFonts w:ascii="Arial" w:cs="Arial" w:eastAsia="Arial" w:hAnsi="Arial"/>
          <w:sz w:val="18"/>
          <w:szCs w:val="18"/>
          <w:color w:val="auto"/>
        </w:rPr>
        <w:t xml:space="preserve">Significant increases or decreases in these assumptions in isolation would result in a significantly higher or lower fair value </w:t>
      </w:r>
      <w:r>
        <w:rPr>
          <w:rFonts w:ascii="Arial" w:cs="Arial" w:eastAsia="Arial" w:hAnsi="Arial"/>
          <w:sz w:val="18"/>
          <w:szCs w:val="18"/>
          <w:i w:val="1"/>
          <w:iCs w:val="1"/>
          <w:color w:val="auto"/>
        </w:rPr>
        <w:t>Secured Notes</w:t>
      </w:r>
    </w:p>
    <w:p>
      <w:pPr>
        <w:spacing w:after="0" w:line="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values at March 31, 2015 and December 31, 2014 on quoted prices in a market with limited trading activity.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4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enter into forward mortgage-backed securities (MBS) trades to provide an economic hedge against changes in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obtained unadjusted market quotes for these derivatives, thus they are classified within Level 1 of the valuation hierarchy.</w:t>
      </w:r>
    </w:p>
    <w:p>
      <w:pPr>
        <w:spacing w:after="0" w:line="7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exposures on variable rate debt issued on servicing advance financing facilities from increases in one-month LIBOR interest rates. The fair value for interest rate caps is based on counterparty market prices and adjusted for counterparty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Sales of Advances and MSRs to HLSS</w:t>
      </w:r>
    </w:p>
    <w:p>
      <w:pPr>
        <w:spacing w:after="0" w:line="12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order to efficiently finance our assets and operations and to create liquidity, we periodically sell MSRs, Rights to MSRs and servicing advances to market participants, including HLSS. We typically retain the right to subservice loans when we sell MSRs and we remain the servicer on the Rights to MSRs sold to HLSS. Counterparties may also acquire advance financing SPEs and the related match funded liabilities. In connection with sales of Rights to MSRs, we retain legal ownership of the MSRs and continue to service the related mortgage loans until such time as all necessary consents are received. We are obligated to transfer legal ownership of the MSRs to NRZ, upon it obtaining all required third-party consents and licenses.</w:t>
      </w:r>
    </w:p>
    <w:p>
      <w:pPr>
        <w:spacing w:after="0" w:line="17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On April 6, 2015, HLSS MSR-EBO Acquisition, LLC, a subsidiary of NRZ, entered into a transaction to acquire substantially all of the assets of HLSS, including HLSS Holdings, LLC, and Ocwen entered into a consent to this transfer and amendment of its agreements with NRZ. NRZ, through its subsidiaries, is now the owner of the Rights to MSRs and has assumed HLSS’ rights and obligations under the associated agreements.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our agreements, HLSS and now NRZ, assumed the obligation to fund new servicing advances with respect to the Rights to MSRs. However, because we remain the servicer on the loans for which the Rights to MSRs have been sold to HLSS, in the event HLSS, and now NRZ, were to fail to fulfill its advance funding obligations, as the servicer under our servicing agreements, we would be contractually obligated to fund such advances. At March 31, 2015, HLSS had outstanding advances of approximately $5.8 billion in connection with the Rights to MSRs. On April 6, 2015, we entered into an amendment to the various purchase and sale supplement agreements with NRZ.</w:t>
      </w:r>
    </w:p>
    <w:p>
      <w:pPr>
        <w:spacing w:after="0" w:line="18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it relates to the sale of Rights to MSRs to HLSS (together with the sale of the related servicing advances, the HLSS Transactions), if and when such transfer of legal ownership occurs, OLS will subservice the loans pursuant to a subservicing agreement, as amended, with NRZ. There were no sales to HLSS during the first quarter of either 2015 or 2014.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also, and in the future may, sell MSRs in transactions accounted for as sales. We may retain subservicing in connection with the transactions.</w:t>
      </w:r>
    </w:p>
    <w:p>
      <w:pPr>
        <w:spacing w:after="0" w:line="140"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To the extent we retain legal title to the MSRs, the sales of Rights to MSRs are accounted for as financings. Upon receipt of third-party consents, we would derecognize the related MSRs. Upon derecognition, any resulting gain or loss is deferred and amortized over the expected life of the related subservicing agreement. Until derecognition, we continue to recognize the full amount of servicing revenue and amortization of the MSRs.</w:t>
      </w:r>
    </w:p>
    <w:p>
      <w:pPr>
        <w:spacing w:after="0" w:line="3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sales of the related advances generally meet the requirements for sale accounting, and the advances are derecognized from our financial statements at the time of the sale.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88" w:right="239" w:bottom="1440" w:gutter="0" w:footer="0" w:header="0"/>
        </w:sectPr>
      </w:pPr>
    </w:p>
    <w:bookmarkStart w:id="25" w:name="page26"/>
    <w:bookmarkEnd w:id="25"/>
    <w:p>
      <w:pPr>
        <w:ind w:firstLine="324"/>
        <w:spacing w:after="0" w:line="277" w:lineRule="auto"/>
        <w:rPr>
          <w:sz w:val="20"/>
          <w:szCs w:val="20"/>
          <w:color w:val="auto"/>
        </w:rPr>
      </w:pPr>
      <w:r>
        <w:rPr>
          <w:rFonts w:ascii="Arial" w:cs="Arial" w:eastAsia="Arial" w:hAnsi="Arial"/>
          <w:sz w:val="18"/>
          <w:szCs w:val="18"/>
          <w:color w:val="auto"/>
        </w:rPr>
        <w:t>In 2014, Ocwen sold advances related to certain FHA-insured mortgage loans to subsidiaries of HLSS, now subsidiaries of NRZ. These advance sales did not qualify for sales treatment and were accounted for as financings.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Loans held for sale, at fair value, represent residential mortgage loans originated or purchased and held until sold to secondary market investors, such as the GSEs or other third parties. The following table summarizes the activity in the balance during the three months ended March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922,254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1,416,797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(990,634)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(1,481,403)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loans held for investment - reverse mortgages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(110,874)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12,863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(2,908)</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339,508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338,228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At March 31, 2015, loans held for sale, at fair value with a UPB of $311.0 million were pledged to secure warehouse lines of credit in our Lending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balance during the three months ended March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87,492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113,896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959,756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(140,948)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(835,786)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(66,187)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23,031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 (1) (2)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68,489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45,475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40" w:hanging="492"/>
        <w:spacing w:after="0" w:line="284"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balances at March 31, 2015 and March 31, 2014 are net of valuation allowances of $29.9 million and $36.0 million, respectively. The decrease in the valuation allowance for the three months ended March 31, 2015 resulted principally from the reversal of $22.5 million of the allowance that was associated with loans that were sold to an unrelated third party in March 2015. This decrease was partly offset by an increase of $0.9 million in the allowance resulting from transfers from the liability for indemnification obligations for the initial valuation adjustment that we recognized on certain loans that we repurchased from Fannie Mae and Freddie Mac guaranteed securitizations. For the three months ended March 31, 2014 the increase in the allowance was principally the result of $5.4 million of such transfers from the liability for indemnification obligations.</w:t>
      </w:r>
    </w:p>
    <w:p>
      <w:pPr>
        <w:spacing w:after="0" w:line="4" w:lineRule="exact"/>
        <w:rPr>
          <w:rFonts w:ascii="Arial" w:cs="Arial" w:eastAsia="Arial" w:hAnsi="Arial"/>
          <w:sz w:val="16"/>
          <w:szCs w:val="16"/>
          <w:color w:val="auto"/>
        </w:rPr>
      </w:pPr>
    </w:p>
    <w:p>
      <w:pPr>
        <w:jc w:val="both"/>
        <w:ind w:left="500" w:right="80" w:hanging="492"/>
        <w:spacing w:after="0" w:line="25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balances at March 31, 2015 and March 31, 2014 include $43.9 million and $6.1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8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At March 31, 2015, Loans held for sale, at lower of cost or fair value with a UPB of $33.1 million were pledged to secure a warehouse line of credit in our Servicing segment.</w:t>
      </w:r>
    </w:p>
    <w:p>
      <w:pPr>
        <w:spacing w:after="0" w:line="6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March 2014, we purchased delinquent FHA-insured loans with a UPB of $549.4 million out of Ginnie Mae guaranteed securitizations under the terms of a conditional repurchase option whereby as servicer we have the right, but not the obligation,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6" w:name="page27"/>
    <w:bookmarkEnd w:id="26"/>
    <w:p>
      <w:pPr>
        <w:jc w:val="both"/>
        <w:ind w:right="220"/>
        <w:spacing w:after="0" w:line="264" w:lineRule="auto"/>
        <w:rPr>
          <w:sz w:val="20"/>
          <w:szCs w:val="20"/>
          <w:color w:val="auto"/>
        </w:rPr>
      </w:pPr>
      <w:r>
        <w:rPr>
          <w:rFonts w:ascii="Arial" w:cs="Arial" w:eastAsia="Arial" w:hAnsi="Arial"/>
          <w:sz w:val="18"/>
          <w:szCs w:val="18"/>
          <w:color w:val="auto"/>
        </w:rPr>
        <w:t>to repurchase delinquent loans at par plus delinquent interest (the Ginnie Mae early buy-out (EBO) program). Immediately after their purchase, we sold the loans (the Ginnie Mae EBO Loans) and related advances to HLSS Mortgage for $612.3 million ($556.6 million for the Ginnie Mae EBO Loans and $55.7 million for the related servicing advances). We recognized a gain of $7.2 million on the sale of the loans.</w:t>
      </w:r>
    </w:p>
    <w:p>
      <w:pPr>
        <w:spacing w:after="0" w:line="73"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sales of advances to HLSS Mortgage did not qualify for sales treatment and were accounted for as a financing. We refer to the purchase and sale of the Ginnie Mae EBO Loans and the sale of the related advances to HLSS Mortgage as the Ginnie Mae EBO Transactions.</w:t>
      </w:r>
    </w:p>
    <w:p>
      <w:pPr>
        <w:spacing w:after="0" w:line="38"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In March 2015, we recognized a gain of $12.9 million on sales of loans with a total UPB of $42.7 million to an unrelated third party. We had repurchased these loans under the representation, warranty and indemnification provisions of our contractual obligations to the GSEs as primary servicer of the loans.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 during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51,400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54,993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on economic hedge instruments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(13,610)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(182)</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44,504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43,987</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Gains on loans held for sale, net include $8.5 million and $11.6 million for the three months ended March 31, 2015 and 2014, respectively, representing the value assigned to MSRs retained on transfers of forward loans.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Also included in Gains on loans held for sale, net are gains of $4.3 million and $22.8 million recorded during the three months ended March 31, 2015 and 2014, respectively, on sales of repurchased Ginnie Mae loans, which are carried at the lower of cost or fair value.</w:t>
      </w:r>
    </w:p>
    <w:p>
      <w:pPr>
        <w:spacing w:after="0" w:line="6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Fair value gains recognized in connection with sales of reverse mortgages into Ginnie Mae guaranteed securitizations are also included in Gains on loans held for sale, net and amounted to $25.6 million and $16.1 million for the three months ended March 31, 2015 and 2014,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net, representing payments made on behalf of borrowers or on foreclosed properties, consisted of the following at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137,929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128,217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467,716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467,891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Foreclosures, bankruptcy and other (1)</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332,829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293,340</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938,474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889,448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Items and 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4,466</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942,538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left="5620" w:right="880" w:hanging="5612"/>
        <w:spacing w:after="0" w:line="559" w:lineRule="auto"/>
        <w:tabs>
          <w:tab w:leader="none" w:pos="4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balances at March 31, 2015 and December 31, 2014 are net of an allowance for losses of $71.9 million and $70.0 million, respectively. 25</w:t>
      </w:r>
    </w:p>
    <w:p>
      <w:pPr>
        <w:sectPr>
          <w:pgSz w:w="11900" w:h="16838" w:orient="portrait"/>
          <w:cols w:equalWidth="0" w:num="1">
            <w:col w:w="11420"/>
          </w:cols>
          <w:pgMar w:left="240" w:top="692"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The following table summarizes the activity in advances for the three months ended March 31:</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98,875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advances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advances (collections of advances), net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50,389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(41,625)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942,538</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937,926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March 31, 2015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00" w:type="dxa"/>
            <w:vAlign w:val="bottom"/>
            <w:tcBorders>
              <w:bottom w:val="single" w:sz="8" w:color="EAF9E8"/>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38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1,249,364</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1,349,048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807,267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847,064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4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196,336</w:t>
            </w:r>
          </w:p>
        </w:tc>
        <w:tc>
          <w:tcPr>
            <w:tcW w:w="6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6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213,330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2,252,967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2,409,442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00" w:type="dxa"/>
            <w:vAlign w:val="bottom"/>
            <w:vMerge w:val="restart"/>
          </w:tcPr>
          <w:p>
            <w:pPr>
              <w:ind w:left="340"/>
              <w:spacing w:after="0"/>
              <w:rPr>
                <w:sz w:val="20"/>
                <w:szCs w:val="20"/>
                <w:color w:val="auto"/>
              </w:rPr>
            </w:pPr>
            <w:r>
              <w:rPr>
                <w:rFonts w:ascii="Arial" w:cs="Arial" w:eastAsia="Arial" w:hAnsi="Arial"/>
                <w:sz w:val="18"/>
                <w:szCs w:val="18"/>
                <w:color w:val="auto"/>
                <w:w w:val="91"/>
              </w:rPr>
              <w:t>The following table summarizes the activity in match funded advances for the three months ended March 31:</w:t>
            </w: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00" w:type="dxa"/>
            <w:vAlign w:val="bottom"/>
            <w:vMerge w:val="continue"/>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0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2,409,442</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2,552,383</w:t>
            </w:r>
          </w:p>
        </w:tc>
        <w:tc>
          <w:tcPr>
            <w:tcW w:w="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85,521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advances</w:t>
            </w:r>
          </w:p>
        </w:tc>
        <w:tc>
          <w:tcPr>
            <w:tcW w:w="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10,156</w:t>
            </w:r>
          </w:p>
        </w:tc>
        <w:tc>
          <w:tcPr>
            <w:tcW w:w="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New advances (collections of pledged advances), net and other</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(156,475)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8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2,252,967</w:t>
            </w:r>
          </w:p>
        </w:tc>
        <w:tc>
          <w:tcPr>
            <w:tcW w:w="6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2,655,854</w:t>
            </w:r>
          </w:p>
        </w:tc>
        <w:tc>
          <w:tcPr>
            <w:tcW w:w="6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following table summarizes the activity in the carrying value of amortization method servicing assets for the three months ended March 31. Amortization of mortgage servicing rights is reported net of the amortization of any servicing liabilities and includes the amount of charges we recognized to increase servicing liability obligations, if 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85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1,820,091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1,953,352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Fair value election - transfer to MSRs carried at fair value (1)</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(787,142)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business acquisitions</w:t>
            </w: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20,324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6,697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11,614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Sales (2)</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 and adjustments</w:t>
            </w:r>
          </w:p>
        </w:tc>
        <w:tc>
          <w:tcPr>
            <w:tcW w:w="3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(364)</w:t>
            </w: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979,117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1,991,623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(38,494)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(62,094)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Impairment (3)</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922,854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1,929,529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4"/>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Estimated fair value at end of period</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1,064,134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2,774,910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January 1, 2015, we elected fair value accounting for a newly-created class of non-Agency MSRs, which were previously accounted for using the amortization method. This irrevocable election applies to all subsequently acquired or</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92" w:right="239" w:bottom="1440" w:gutter="0" w:footer="0" w:header="0"/>
          <w:type w:val="continuous"/>
        </w:sectPr>
      </w:pPr>
    </w:p>
    <w:bookmarkStart w:id="28" w:name="page29"/>
    <w:bookmarkEnd w:id="28"/>
    <w:p>
      <w:pPr>
        <w:ind w:left="500" w:right="140"/>
        <w:spacing w:after="0" w:line="323" w:lineRule="auto"/>
        <w:rPr>
          <w:sz w:val="20"/>
          <w:szCs w:val="20"/>
          <w:color w:val="auto"/>
        </w:rPr>
      </w:pPr>
      <w:r>
        <w:rPr>
          <w:rFonts w:ascii="Arial" w:cs="Arial" w:eastAsia="Arial" w:hAnsi="Arial"/>
          <w:sz w:val="16"/>
          <w:szCs w:val="16"/>
          <w:color w:val="auto"/>
        </w:rPr>
        <w:t>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of the non-Agency MSRs for which the fair value election was made was $195.3 billion.</w:t>
      </w:r>
    </w:p>
    <w:p>
      <w:pPr>
        <w:spacing w:after="0" w:line="1" w:lineRule="exact"/>
        <w:rPr>
          <w:sz w:val="20"/>
          <w:szCs w:val="20"/>
          <w:color w:val="auto"/>
        </w:rPr>
      </w:pPr>
    </w:p>
    <w:p>
      <w:pPr>
        <w:ind w:left="500" w:right="220" w:hanging="492"/>
        <w:spacing w:after="0" w:line="258"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31, 2015, we closed on the sale of Agency MSRs on a portfolio consisting of 76,000 performing loans owned by Freddie Mac with a total UPB of $9.1 billion. We completed the transfer of the loan servicing on April 16, 2015.</w:t>
      </w:r>
    </w:p>
    <w:p>
      <w:pPr>
        <w:ind w:left="500" w:right="100" w:hanging="492"/>
        <w:spacing w:after="0" w:line="25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established a $17.8 million valuation allowance related to impairment on our government-insured MSRs, as the fair value for this stratum was less than its carrying value. This impairment was primarily due to the FHA reducing the mortgage insurance premium rate by 50 basis points during the quarter, which created a significantly lower interest rate for existing FHA borrowers and in turn, generated higher projected prepayment speed and shorter asset life inputs used to value these MSRs. The impairment charge is recognized in Servicing and origination expense in the unaudited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Rights—Fair Value Measurement Method</w:t>
      </w:r>
    </w:p>
    <w:p>
      <w:pPr>
        <w:spacing w:after="0" w:line="229"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This portfolio comprises servicing rights for which we elected the fair value option and includes Agency residential mortgage loans for which we previously hedged the related market risks and a new class of non-Agency residential mortgage loans for which we elected fair value as of January 1, 2015.</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fair value servicing assets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Agency</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Non-Agency</w:t>
            </w:r>
          </w:p>
        </w:tc>
        <w:tc>
          <w:tcPr>
            <w:tcW w:w="3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3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w w:val="99"/>
              </w:rPr>
              <w:t>Fair value election - transfer from MSRs carried at amortized cost</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787,142</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787,142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Cumulative effect of fair value election</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52,015</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(947)</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 and adjustments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(1,139)</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Changes in fair value (1):</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Changes in valuation inputs or other assumptions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(6,110)</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(3,155)</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Realization of expected future cash flows and other changes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(3,276)</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(23,789)</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(2,048)</w:t>
            </w:r>
          </w:p>
        </w:tc>
      </w:tr>
      <w:tr>
        <w:trPr>
          <w:trHeight w:val="27"/>
        </w:trPr>
        <w:tc>
          <w:tcPr>
            <w:tcW w:w="53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84,515</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813,282</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897,797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110,826</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fair value are recognized in Servicing and origination expense in the unaudited Consolidated Statements of Operations.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(as prepayments increase) and increase in periods of rising interest rates (as prepayments decrease). The following table summarizes the estimated change in the value of the MSRs that we carry at fair value as of March 31, 2015 given hypothetical instantaneous parallel shifts in the yield curve: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(40,557)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(101,371)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(44,842)</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sensitivity analysis measures the potential impact on fair values based on hypothetical changes (increases and decreases) in interest rates.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MSRs while subservicing represents all other loans. The UPB of assets serviced for others are not included on our unaudited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March 31, 2015</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337,125,187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337,125,187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45,088,815</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161,887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45,250,702</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382,214,002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161,887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382,375,889</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2014</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361,288,281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361,288,281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37,439,446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37,589,183</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398,877,464</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March 31, 2014</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391,701,237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391,701,237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57,869,359</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318,507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58,187,866</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449,570,596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318,507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449,889,103</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8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primary servicing UPB of $156.3 billion, $160.8 billion and $170.8 billion at March 31, 2015, December 31, 2014 and March 31, 2014, respectively, for which the Rights to MSRs have been sold to HLSS.</w:t>
      </w:r>
    </w:p>
    <w:p>
      <w:pPr>
        <w:spacing w:after="0" w:line="6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$2.1 billion, $2.3 billion and $2.5 billion at March 31, 2015, December 31, 2014 and March 31, 2014, respectively. Commercial assets consist of large-balance foreclosed real estate.</w:t>
      </w:r>
    </w:p>
    <w:p>
      <w:pPr>
        <w:spacing w:after="0" w:line="7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or in the event we fail to maintain required servicer ratings, among other provisions. As a result of the economic downturn of recent years, the portfolio delinquency and/or cumulative loss threshold provisions have been breached by many private-label securitizations in our non-Agency servicing portfolio. Terminations as servicer as a result of a breach of any of these provisions have been minimal. In the event we are terminated as servicer and the Rights to MSRs were sold to HLSS, now owned by NRZ, we are obligated to compensate NRZ. As a result of the transfer of servicing to another party during the three months ended March 31, 2015 related to Rights to MSRs sold to HLSS, we were required to reimburse HLSS $2.2 million for a percentage of the purchase price for the related Rights to MSRs in accordance with our agreements.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servicing and subservicing fees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320,085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351,823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Subservicing</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30,457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350,542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385,548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36,699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Late charges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36,835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 collection fees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Custodial accounts (float earnings)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25,242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446,541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490,459</w:t>
            </w:r>
          </w:p>
        </w:tc>
        <w:tc>
          <w:tcPr>
            <w:tcW w:w="0" w:type="dxa"/>
            <w:vAlign w:val="bottom"/>
          </w:tcPr>
          <w:p>
            <w:pPr>
              <w:spacing w:after="0"/>
              <w:rPr>
                <w:sz w:val="1"/>
                <w:szCs w:val="1"/>
                <w:color w:val="auto"/>
              </w:rPr>
            </w:pP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Float balances (balances in custodial accounts, which represent collections of principal and interest that we receive from borrowers, are held in escrow by an unaffiliated bank and are excluded from our balance sheet) amounted to $4.0 billion and $3.5 billion at March 31, 2015 and March 31, 2014,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29"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Receivables consisted of the following at the dates indicated:</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 (1)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64,637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52,955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custodial accounts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45,355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32,387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servicing receivables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93,138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29,516</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232,290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126,485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taxes receivable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63,948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68,322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from related parties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58,892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 (2)</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43,690</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326,842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297,389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 (1)</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(27,006)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(26,793)</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299,836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270,596</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right="60" w:hanging="492"/>
        <w:spacing w:after="0" w:line="288"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total allowance for losses at March 31, 2015 and December 31, 2014 includes $27.0 million and $26.8 million, respectively, related to receivables of our Servicing business. Allowance for losses related to defaulted FHA or VA insured loans repurchased from Ginnie Mae guaranteed securitizations (government-insured loan claims) at March 31, 2015 and December 31, 2014 were $11.8 million and $10.0 million, respectively.</w:t>
      </w:r>
    </w:p>
    <w:p>
      <w:pPr>
        <w:jc w:val="both"/>
        <w:ind w:left="500" w:right="100" w:hanging="492"/>
        <w:spacing w:after="0" w:line="25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balance at December 31, 2014 includes $28.8 million related to losses to be indemnified under the terms of the Homeward merger agreement. On March 19, 2015, we reached an agreement with the former owner of Homeward for the final settlement of all indemnification claims under the merger agreement and received $38.1 million in cash.</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Other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 (1)</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283,900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274,265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service accounts (2)</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86,437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91,974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lender fees and debt issuance costs, net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41,025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31,337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16,720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15,782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income taxes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16,450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9,545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Mortgage backed securities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7,335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17,850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28,708</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500,659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490,811</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52"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Ginnie Mae EBO Transactions,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re-recognized mortgage loans in Other assets and the corresponding liability in Other liabilities.</w:t>
      </w:r>
    </w:p>
    <w:p>
      <w:pPr>
        <w:spacing w:after="0" w:line="4" w:lineRule="exact"/>
        <w:rPr>
          <w:rFonts w:ascii="Arial" w:cs="Arial" w:eastAsia="Arial" w:hAnsi="Arial"/>
          <w:sz w:val="18"/>
          <w:szCs w:val="18"/>
          <w:color w:val="auto"/>
        </w:rPr>
      </w:pPr>
    </w:p>
    <w:p>
      <w:pPr>
        <w:ind w:left="500" w:right="20" w:hanging="492"/>
        <w:spacing w:after="0" w:line="25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our advance funding financing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and certain of our warehouse facilities to provide for possible shortfalls</w:t>
      </w:r>
    </w:p>
    <w:p>
      <w:pPr>
        <w:sectPr>
          <w:pgSz w:w="11900" w:h="16838" w:orient="portrait"/>
          <w:cols w:equalWidth="0" w:num="1">
            <w:col w:w="11420"/>
          </w:cols>
          <w:pgMar w:left="240" w:top="796"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796" w:right="239" w:bottom="1440" w:gutter="0" w:footer="0" w:header="0"/>
          <w:type w:val="continuous"/>
        </w:sectPr>
      </w:pPr>
    </w:p>
    <w:bookmarkStart w:id="31" w:name="page32"/>
    <w:bookmarkEnd w:id="31"/>
    <w:p>
      <w:pPr>
        <w:ind w:left="500" w:right="20"/>
        <w:spacing w:after="0" w:line="324" w:lineRule="auto"/>
        <w:rPr>
          <w:sz w:val="20"/>
          <w:szCs w:val="20"/>
          <w:color w:val="auto"/>
        </w:rPr>
      </w:pPr>
      <w:r>
        <w:rPr>
          <w:rFonts w:ascii="Arial" w:cs="Arial" w:eastAsia="Arial" w:hAnsi="Arial"/>
          <w:sz w:val="18"/>
          <w:szCs w:val="18"/>
          <w:color w:val="auto"/>
        </w:rPr>
        <w:t>in the funds available to pay certain expenses and interest. The funds related to match funded facilities are held in interest earning accounts in the name of the SPE created in connection with the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000" w:type="dxa"/>
            <w:vAlign w:val="bottom"/>
            <w:gridSpan w:val="2"/>
          </w:tcPr>
          <w:p>
            <w:pPr>
              <w:ind w:left="82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Capacity (2)</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 2015</w:t>
            </w: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 Backed Notes</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(3) + 175</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2012-ADV1 (3)</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2"/>
              </w:rPr>
              <w:t>bps</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2017</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2015</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51,658</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348,342</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373,080</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Advance Receivable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Note (4)</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+ 300 bps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2015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2014</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494</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2013-VF2,</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+ 167 bps</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2045</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2015</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68,214</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495,786</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519,634</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2013-VF2,</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+ 300 bps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B</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2045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2015</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31,416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32,919</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7"/>
              </w:rPr>
              <w:t>Advance Receivables Backed Notes -</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+ 175 bps</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2014-VF3, Class A</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(7)</w:t>
            </w:r>
          </w:p>
        </w:tc>
        <w:tc>
          <w:tcPr>
            <w:tcW w:w="1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2045</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2015</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72,799</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527,201</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552,553</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7"/>
              </w:rPr>
              <w:t>Advance Receivables Backed Notes -</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+ 175 bps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2014-VF4</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(8)</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2045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2015</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72,799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527,201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552,553</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(9)</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275 bps</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2045</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2015</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54,270</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25,673</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21,192</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B (9)</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325 bps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2045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2015</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16,289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13,598</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(9)</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375 bps</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2045</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2015</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12,220</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10,224</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D (9)</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470 bps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2045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2015</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16,548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14,000</w:t>
            </w:r>
          </w:p>
        </w:tc>
      </w:tr>
      <w:tr>
        <w:trPr>
          <w:trHeight w:val="27"/>
        </w:trPr>
        <w:tc>
          <w:tcPr>
            <w:tcW w:w="2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29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324,324</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2,000,676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2,090,247</w:t>
            </w:r>
          </w:p>
        </w:tc>
      </w:tr>
      <w:tr>
        <w:trPr>
          <w:trHeight w:val="20"/>
        </w:trPr>
        <w:tc>
          <w:tcPr>
            <w:tcW w:w="29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3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amortization date of our advance financing facilities is the date on which the revolving period ends under each advance financing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3" w:lineRule="exact"/>
        <w:rPr>
          <w:rFonts w:ascii="Arial" w:cs="Arial" w:eastAsia="Arial" w:hAnsi="Arial"/>
          <w:sz w:val="18"/>
          <w:szCs w:val="18"/>
          <w:color w:val="auto"/>
        </w:rPr>
      </w:pPr>
    </w:p>
    <w:p>
      <w:pPr>
        <w:ind w:left="500" w:right="180" w:hanging="492"/>
        <w:spacing w:after="0" w:line="281"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March 31, 2015, none of the available borrowing capacity could be used based on the amount of eligible collateral that had been pledged</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1-Month LIBOR (1ML) was 0.18% and 0.17% at March 31, 2015 and December 31, 2014, respectively.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voluntarily terminated this facility on January 15, 2015.</w:t>
      </w:r>
    </w:p>
    <w:p>
      <w:pPr>
        <w:spacing w:after="0" w:line="9"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margin on this note is scheduled to increase to 191 bps on July 15, 2015, to 215 bps on August 15, 2015 and to 239 bps on September 15, 2015.</w:t>
      </w:r>
    </w:p>
    <w:p>
      <w:pPr>
        <w:ind w:left="500" w:right="140" w:hanging="492"/>
        <w:spacing w:after="0" w:line="261"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margin on this note is scheduled to increase to 343 bps on July 15, 2015, to 386 bps on August 15, 2015 and to 429 bps on September 15,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11" w:right="239" w:bottom="1440" w:gutter="0" w:footer="0" w:header="0"/>
        </w:sectPr>
      </w:pPr>
    </w:p>
    <w:bookmarkStart w:id="32" w:name="page33"/>
    <w:bookmarkEnd w:id="32"/>
    <w:p>
      <w:pPr>
        <w:ind w:left="500" w:right="140" w:hanging="492"/>
        <w:spacing w:after="0" w:line="258"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interest margin on this note is scheduled to increase to 200 bps on July 15, 2015, to 225 bps on August 15, 2015 and to 250 bps on September 15, 2015.</w:t>
      </w:r>
    </w:p>
    <w:p>
      <w:pPr>
        <w:spacing w:after="0" w:line="1"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interest margin on this note is scheduled to increase to 200 bps on July 15, 2015, to 212 bps on August 15, 2015 and to 250 bps on September 15, 2015.</w:t>
      </w:r>
    </w:p>
    <w:p>
      <w:pPr>
        <w:ind w:left="500" w:hanging="492"/>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Beginning April 23, 2015, the maximum borrowing under this facility will decrease by $6.3 million per month until it is reduced to $75.0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920" w:type="dxa"/>
            <w:vAlign w:val="bottom"/>
            <w:gridSpan w:val="2"/>
          </w:tcPr>
          <w:p>
            <w:pPr>
              <w:ind w:left="196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2015</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594,495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614,441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92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3"/>
              </w:rPr>
              <w:t>Secured Notes, Ocwen Asset Servicing Income Series, Series</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37"/>
        </w:trPr>
        <w:tc>
          <w:tcPr>
            <w:tcW w:w="480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2014-1 (2)</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Feb. 2028</w:t>
            </w: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107,408</w:t>
            </w: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111,459</w:t>
            </w:r>
          </w:p>
        </w:tc>
      </w:tr>
      <w:tr>
        <w:trPr>
          <w:trHeight w:val="229"/>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loans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84,307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88,489</w:t>
            </w:r>
          </w:p>
        </w:tc>
      </w:tr>
      <w:tr>
        <w:trPr>
          <w:trHeight w:val="27"/>
        </w:trPr>
        <w:tc>
          <w:tcPr>
            <w:tcW w:w="4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786,210</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814,389</w:t>
            </w:r>
          </w:p>
        </w:tc>
      </w:tr>
      <w:tr>
        <w:trPr>
          <w:trHeight w:val="29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29"/>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Loans held for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investment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1ML + 245</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HMBS-related borrowings (4)</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(LHFI)</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bps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1,702,397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1,444,252</w:t>
            </w:r>
          </w:p>
        </w:tc>
      </w:tr>
      <w:tr>
        <w:trPr>
          <w:trHeight w:val="27"/>
        </w:trPr>
        <w:tc>
          <w:tcPr>
            <w:tcW w:w="4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43"/>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2,488,607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2,258,641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60" w:hanging="492"/>
        <w:spacing w:after="0" w:line="29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financing liability arose in connection with the HLSS Transaction financing liabilities and has no contractual maturity. The balance of the liability is adjusted each reporting period to its fair value based on the present value of the estimated future cash flows underlying the related MSRs.</w:t>
      </w:r>
    </w:p>
    <w:p>
      <w:pPr>
        <w:ind w:left="500" w:right="6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The notes have a final stated maturity of February 2028. We accounted for this transaction as a financing. Monthly amortization of the liability is estimated using the proportion of monthly projected service fees on the underlying MSRs as a percentage of lifetime projected fees, adjusted for the term of the security.</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sales of advances in 2014 did not qualify for sales accounting treatment and were accounted for as a financing.</w:t>
      </w:r>
    </w:p>
    <w:p>
      <w:pPr>
        <w:spacing w:after="0" w:line="9" w:lineRule="exact"/>
        <w:rPr>
          <w:rFonts w:ascii="Arial" w:cs="Arial" w:eastAsia="Arial" w:hAnsi="Arial"/>
          <w:sz w:val="18"/>
          <w:szCs w:val="18"/>
          <w:color w:val="auto"/>
        </w:rPr>
      </w:pPr>
    </w:p>
    <w:p>
      <w:pPr>
        <w:ind w:left="500" w:right="20" w:hanging="492"/>
        <w:spacing w:after="0" w:line="261"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amounts due to the holders of beneficial interests in Ginnie Mae guaranteed HMBS. The beneficial interests have no maturity dates, and the borrowings mature as the related loans are repaid.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secured borrowings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3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Borrowings</w:t>
            </w: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Interest Rate</w:t>
            </w: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Maturity</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Capacity</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2015</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1-Month Euro-</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dollar rate + 375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bps with 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Eurodollar floor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SSTL (1)</w:t>
            </w:r>
          </w:p>
        </w:tc>
        <w:tc>
          <w:tcPr>
            <w:tcW w:w="1240" w:type="dxa"/>
            <w:vAlign w:val="bottom"/>
          </w:tcPr>
          <w:p>
            <w:pPr>
              <w:ind w:lef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125 bps (1)</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Feb.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1,200,174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1,277,250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Loans held for</w:t>
            </w:r>
          </w:p>
        </w:tc>
        <w:tc>
          <w:tcPr>
            <w:tcW w:w="16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+ 200 - 345</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Repurchase agreement (2)</w:t>
            </w:r>
          </w:p>
        </w:tc>
        <w:tc>
          <w:tcPr>
            <w:tcW w:w="13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sale (LHFS)</w:t>
            </w:r>
          </w:p>
        </w:tc>
        <w:tc>
          <w:tcPr>
            <w:tcW w:w="16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bps</w:t>
            </w:r>
          </w:p>
        </w:tc>
        <w:tc>
          <w:tcPr>
            <w:tcW w:w="1240" w:type="dxa"/>
            <w:vAlign w:val="bottom"/>
            <w:tcBorders>
              <w:bottom w:val="single" w:sz="8" w:color="EAF9E8"/>
            </w:tcBorders>
            <w:gridSpan w:val="2"/>
            <w:shd w:val="clear" w:color="auto" w:fill="EAF9E8"/>
          </w:tcPr>
          <w:p>
            <w:pPr>
              <w:ind w:left="220"/>
              <w:spacing w:after="0"/>
              <w:rPr>
                <w:sz w:val="20"/>
                <w:szCs w:val="20"/>
                <w:color w:val="auto"/>
              </w:rPr>
            </w:pPr>
            <w:r>
              <w:rPr>
                <w:rFonts w:ascii="Arial" w:cs="Arial" w:eastAsia="Arial" w:hAnsi="Arial"/>
                <w:sz w:val="18"/>
                <w:szCs w:val="18"/>
                <w:color w:val="auto"/>
              </w:rPr>
              <w:t>Jun. 2015</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15,747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34,253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32,018</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1,234,427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1,309,268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vMerge w:val="restart"/>
          </w:tcPr>
          <w:p>
            <w:pPr>
              <w:ind w:left="9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240" w:type="dxa"/>
            <w:vAlign w:val="bottom"/>
            <w:gridSpan w:val="2"/>
          </w:tcPr>
          <w:p>
            <w:pPr>
              <w:ind w:left="1120"/>
              <w:spacing w:after="0"/>
              <w:rPr>
                <w:sz w:val="20"/>
                <w:szCs w:val="20"/>
                <w:color w:val="auto"/>
              </w:rPr>
            </w:pPr>
            <w:r>
              <w:rPr>
                <w:rFonts w:ascii="Arial" w:cs="Arial" w:eastAsia="Arial" w:hAnsi="Arial"/>
                <w:sz w:val="18"/>
                <w:szCs w:val="18"/>
                <w:b w:val="1"/>
                <w:bCs w:val="1"/>
                <w:color w:val="auto"/>
              </w:rPr>
              <w:t>Borrowings</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Interest Rate</w:t>
            </w:r>
          </w:p>
        </w:tc>
        <w:tc>
          <w:tcPr>
            <w:tcW w:w="1380" w:type="dxa"/>
            <w:vAlign w:val="bottom"/>
            <w:gridSpan w:val="3"/>
          </w:tcPr>
          <w:p>
            <w:pPr>
              <w:ind w:left="220"/>
              <w:spacing w:after="0"/>
              <w:rPr>
                <w:sz w:val="20"/>
                <w:szCs w:val="20"/>
                <w:color w:val="auto"/>
              </w:rPr>
            </w:pPr>
            <w:r>
              <w:rPr>
                <w:rFonts w:ascii="Arial" w:cs="Arial" w:eastAsia="Arial" w:hAnsi="Arial"/>
                <w:sz w:val="18"/>
                <w:szCs w:val="18"/>
                <w:b w:val="1"/>
                <w:bCs w:val="1"/>
                <w:color w:val="auto"/>
              </w:rPr>
              <w:t>Maturity</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Capacity</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 2015</w:t>
            </w: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3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3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9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80" w:type="dxa"/>
            <w:vAlign w:val="bottom"/>
            <w:shd w:val="clear" w:color="auto" w:fill="EAF9E8"/>
          </w:tcPr>
          <w:p>
            <w:pPr>
              <w:spacing w:after="0"/>
              <w:rPr>
                <w:sz w:val="14"/>
                <w:szCs w:val="14"/>
                <w:color w:val="auto"/>
              </w:rPr>
            </w:pPr>
          </w:p>
        </w:tc>
        <w:tc>
          <w:tcPr>
            <w:tcW w:w="10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200" w:type="dxa"/>
            <w:vAlign w:val="bottom"/>
            <w:shd w:val="clear" w:color="auto" w:fill="EAF9E8"/>
          </w:tcPr>
          <w:p>
            <w:pPr>
              <w:spacing w:after="0"/>
              <w:rPr>
                <w:sz w:val="14"/>
                <w:szCs w:val="14"/>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b w:val="1"/>
                <w:bCs w:val="1"/>
                <w:color w:val="auto"/>
              </w:rPr>
              <w:t>Lending:</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Master repurchase agreement (3)</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+ 175 bps</w:t>
            </w:r>
          </w:p>
        </w:tc>
        <w:tc>
          <w:tcPr>
            <w:tcW w:w="1380" w:type="dxa"/>
            <w:vAlign w:val="bottom"/>
            <w:tcBorders>
              <w:bottom w:val="single" w:sz="8" w:color="EAF9E8"/>
            </w:tcBorders>
            <w:gridSpan w:val="3"/>
            <w:shd w:val="clear" w:color="auto" w:fill="EAF9E8"/>
          </w:tcPr>
          <w:p>
            <w:pPr>
              <w:ind w:left="220"/>
              <w:spacing w:after="0"/>
              <w:rPr>
                <w:sz w:val="20"/>
                <w:szCs w:val="20"/>
                <w:color w:val="auto"/>
              </w:rPr>
            </w:pPr>
            <w:r>
              <w:rPr>
                <w:rFonts w:ascii="Arial" w:cs="Arial" w:eastAsia="Arial" w:hAnsi="Arial"/>
                <w:sz w:val="18"/>
                <w:szCs w:val="18"/>
                <w:color w:val="auto"/>
              </w:rPr>
              <w:t>Jun. 2015</w:t>
            </w: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192,222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208,010</w:t>
            </w:r>
          </w:p>
        </w:tc>
      </w:tr>
      <w:tr>
        <w:trPr>
          <w:trHeight w:val="243"/>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Participation agreement (4)</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380" w:type="dxa"/>
            <w:vAlign w:val="bottom"/>
            <w:gridSpan w:val="3"/>
          </w:tcPr>
          <w:p>
            <w:pPr>
              <w:ind w:left="200"/>
              <w:spacing w:after="0"/>
              <w:rPr>
                <w:sz w:val="20"/>
                <w:szCs w:val="20"/>
                <w:color w:val="auto"/>
              </w:rPr>
            </w:pPr>
            <w:r>
              <w:rPr>
                <w:rFonts w:ascii="Arial" w:cs="Arial" w:eastAsia="Arial" w:hAnsi="Arial"/>
                <w:sz w:val="18"/>
                <w:szCs w:val="18"/>
                <w:color w:val="auto"/>
              </w:rPr>
              <w:t>Apr. 2016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13,548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41,646</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Participation agreement (5)</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N/A</w:t>
            </w:r>
          </w:p>
        </w:tc>
        <w:tc>
          <w:tcPr>
            <w:tcW w:w="1380" w:type="dxa"/>
            <w:vAlign w:val="bottom"/>
            <w:tcBorders>
              <w:bottom w:val="single" w:sz="8" w:color="EAF9E8"/>
            </w:tcBorders>
            <w:gridSpan w:val="3"/>
            <w:shd w:val="clear" w:color="auto" w:fill="EAF9E8"/>
          </w:tcPr>
          <w:p>
            <w:pPr>
              <w:ind w:left="200"/>
              <w:spacing w:after="0"/>
              <w:rPr>
                <w:sz w:val="20"/>
                <w:szCs w:val="20"/>
                <w:color w:val="auto"/>
              </w:rPr>
            </w:pPr>
            <w:r>
              <w:rPr>
                <w:rFonts w:ascii="Arial" w:cs="Arial" w:eastAsia="Arial" w:hAnsi="Arial"/>
                <w:sz w:val="18"/>
                <w:szCs w:val="18"/>
                <w:color w:val="auto"/>
              </w:rPr>
              <w:t>Apr. 2016</w:t>
            </w: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38,717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196</w:t>
            </w: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+ 175 - 275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(6)</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380" w:type="dxa"/>
            <w:vAlign w:val="bottom"/>
            <w:gridSpan w:val="3"/>
          </w:tcPr>
          <w:p>
            <w:pPr>
              <w:ind w:left="240"/>
              <w:spacing w:after="0"/>
              <w:rPr>
                <w:sz w:val="20"/>
                <w:szCs w:val="20"/>
                <w:color w:val="auto"/>
              </w:rPr>
            </w:pPr>
            <w:r>
              <w:rPr>
                <w:rFonts w:ascii="Arial" w:cs="Arial" w:eastAsia="Arial" w:hAnsi="Arial"/>
                <w:sz w:val="18"/>
                <w:szCs w:val="18"/>
                <w:color w:val="auto"/>
              </w:rPr>
              <w:t>Jul. 2015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19,508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55,492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102,073</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Master repurchase agreement (7)</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LHFI</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+ 275bps</w:t>
            </w:r>
          </w:p>
        </w:tc>
        <w:tc>
          <w:tcPr>
            <w:tcW w:w="1380" w:type="dxa"/>
            <w:vAlign w:val="bottom"/>
            <w:tcBorders>
              <w:bottom w:val="single" w:sz="8" w:color="EAF9E8"/>
            </w:tcBorders>
            <w:gridSpan w:val="3"/>
            <w:shd w:val="clear" w:color="auto" w:fill="EAF9E8"/>
          </w:tcPr>
          <w:p>
            <w:pPr>
              <w:ind w:left="440"/>
              <w:spacing w:after="0"/>
              <w:rPr>
                <w:sz w:val="20"/>
                <w:szCs w:val="20"/>
                <w:color w:val="auto"/>
              </w:rPr>
            </w:pPr>
            <w:r>
              <w:rPr>
                <w:rFonts w:ascii="Arial" w:cs="Arial" w:eastAsia="Arial" w:hAnsi="Arial"/>
                <w:sz w:val="18"/>
                <w:szCs w:val="18"/>
                <w:color w:val="auto"/>
              </w:rPr>
              <w:t>Jul. 2015</w:t>
            </w: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39,463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52,678</w:t>
            </w: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+ 275 bps;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Mortgage warehouse agreement (8)</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LHFI</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floor of 350 bps</w:t>
            </w:r>
          </w:p>
        </w:tc>
        <w:tc>
          <w:tcPr>
            <w:tcW w:w="1380" w:type="dxa"/>
            <w:vAlign w:val="bottom"/>
            <w:gridSpan w:val="3"/>
          </w:tcPr>
          <w:p>
            <w:pPr>
              <w:ind w:left="200"/>
              <w:spacing w:after="0"/>
              <w:rPr>
                <w:sz w:val="20"/>
                <w:szCs w:val="20"/>
                <w:color w:val="auto"/>
              </w:rPr>
            </w:pPr>
            <w:r>
              <w:rPr>
                <w:rFonts w:ascii="Arial" w:cs="Arial" w:eastAsia="Arial" w:hAnsi="Arial"/>
                <w:sz w:val="18"/>
                <w:szCs w:val="18"/>
                <w:color w:val="auto"/>
              </w:rPr>
              <w:t>May 2015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33,513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23,851</w:t>
            </w: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19,508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372,955</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428,454</w:t>
            </w:r>
          </w:p>
        </w:tc>
      </w:tr>
      <w:tr>
        <w:trPr>
          <w:trHeight w:val="169"/>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3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35,255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1,607,382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1,737,722</w:t>
            </w: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Discount (1)</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(4,031)</w:t>
            </w: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gridSpan w:val="3"/>
            <w:shd w:val="clear" w:color="auto" w:fill="EAF9E8"/>
          </w:tcPr>
          <w:p>
            <w:pPr>
              <w:ind w:left="12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35,255</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1,603,707</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1,733,691</w:t>
            </w:r>
          </w:p>
        </w:tc>
      </w:tr>
      <w:tr>
        <w:trPr>
          <w:trHeight w:val="20"/>
        </w:trPr>
        <w:tc>
          <w:tcPr>
            <w:tcW w:w="3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64"/>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4.33%</w:t>
            </w: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March 2, 2015, we entered into an amendment to the SSTL facility agreement. Among other things, the amendment:</w:t>
      </w:r>
    </w:p>
    <w:p>
      <w:pPr>
        <w:spacing w:after="0" w:line="23" w:lineRule="exact"/>
        <w:rPr>
          <w:rFonts w:ascii="Arial" w:cs="Arial" w:eastAsia="Arial" w:hAnsi="Arial"/>
          <w:sz w:val="18"/>
          <w:szCs w:val="18"/>
          <w:color w:val="auto"/>
        </w:rPr>
      </w:pPr>
    </w:p>
    <w:p>
      <w:pPr>
        <w:ind w:left="820" w:right="80" w:hanging="326"/>
        <w:spacing w:after="0" w:line="250"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eliminates the dollar cap on the general asset sale basket and requires Ocwen to use 75% of the net cash proceeds from permitted asset sales under such general asset basket to prepay the loans under the SSTL and, subject to certain conditions, permits Ocwen to use up to 25% of such net cash proceeds to reinvest in assets used in the business of OLS and its subsidiaries within 120 days of receipt thereof (subject to an extension of up to 90 days if a binding agreement is entered into within such 120 days); and</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increases the quarterly covenant levels of the corporate leverage ratio to 3.5-to-1 for the fiscal quarter ended March 31, 2015 and thereafter.</w:t>
      </w:r>
    </w:p>
    <w:p>
      <w:pPr>
        <w:spacing w:after="0" w:line="20" w:lineRule="exact"/>
        <w:rPr>
          <w:rFonts w:ascii="Arial" w:cs="Arial" w:eastAsia="Arial" w:hAnsi="Arial"/>
          <w:sz w:val="17"/>
          <w:szCs w:val="17"/>
          <w:color w:val="auto"/>
        </w:rPr>
      </w:pPr>
    </w:p>
    <w:p>
      <w:pPr>
        <w:ind w:left="500" w:right="54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this repurchase agreement, the lender provides financing on a committed basis for $50.0 million and, at the discretion of the lender, on an uncommitted basis for an additional $50.0 million.</w:t>
      </w:r>
    </w:p>
    <w:p>
      <w:pPr>
        <w:ind w:left="500" w:right="46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this repurchase agreement, the lender provides financing on a committed basis for $150.0 million and, at the discretion of the lender, on an uncommitted basis for an additional $150.0 million.</w:t>
      </w:r>
    </w:p>
    <w:p>
      <w:pPr>
        <w:ind w:left="500" w:right="80" w:hanging="492"/>
        <w:spacing w:after="0" w:line="281"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this participation agreement, the lender provides financing on an uncommitted basis for $50.0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April 16, 2015, the maximum borrowing capacity was increased to $100.0 million.</w:t>
      </w:r>
    </w:p>
    <w:p>
      <w:pPr>
        <w:spacing w:after="0" w:line="2" w:lineRule="exact"/>
        <w:rPr>
          <w:rFonts w:ascii="Arial" w:cs="Arial" w:eastAsia="Arial" w:hAnsi="Arial"/>
          <w:sz w:val="16"/>
          <w:szCs w:val="16"/>
          <w:color w:val="auto"/>
        </w:rPr>
      </w:pPr>
    </w:p>
    <w:p>
      <w:pPr>
        <w:ind w:left="500" w:right="8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on an uncommitted basis for $150.0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1" w:lineRule="exact"/>
        <w:rPr>
          <w:rFonts w:ascii="Arial" w:cs="Arial" w:eastAsia="Arial" w:hAnsi="Arial"/>
          <w:sz w:val="18"/>
          <w:szCs w:val="18"/>
          <w:color w:val="auto"/>
        </w:rPr>
      </w:pPr>
    </w:p>
    <w:p>
      <w:pPr>
        <w:ind w:left="500" w:right="54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this repurchase agreement, the lender provides financing on a committed basis for $75.0 million and, at the discretion of the lender, on an uncommitted basis for an additional $75.0 million. On April 16, 2015, this facility was terminated.</w:t>
      </w:r>
    </w:p>
    <w:p>
      <w:pPr>
        <w:ind w:left="500" w:hanging="492"/>
        <w:spacing w:after="0"/>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April 16, 2015, the maximum borrowing capacity under this agreement was reduced to $37.5 million all of which is on a committed basis.</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Borrowing capacity of $60.0 million under this facility is available on an uncommitted basis at the discretion of the lender.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On May 12, 2014, Ocwen completed the issuance and sale of $350.0 million of its 6.625% Senior Notes due 2019 (the Senior Unsecured Notes) in a private offering. The Senior Unsecured Notes are general senior unsecured obligations of Ocwen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4" w:name="page35"/>
    <w:bookmarkEnd w:id="34"/>
    <w:p>
      <w:pPr>
        <w:ind w:right="180"/>
        <w:spacing w:after="0" w:line="277" w:lineRule="auto"/>
        <w:rPr>
          <w:sz w:val="20"/>
          <w:szCs w:val="20"/>
          <w:color w:val="auto"/>
        </w:rPr>
      </w:pPr>
      <w:r>
        <w:rPr>
          <w:rFonts w:ascii="Arial" w:cs="Arial" w:eastAsia="Arial" w:hAnsi="Arial"/>
          <w:sz w:val="18"/>
          <w:szCs w:val="18"/>
          <w:color w:val="auto"/>
        </w:rPr>
        <w:t>and will mature on May 15, 2019. Interest is payable semi-annually on May 15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and November 15</w:t>
      </w:r>
      <w:r>
        <w:rPr>
          <w:rFonts w:ascii="Arial" w:cs="Arial" w:eastAsia="Arial" w:hAnsi="Arial"/>
          <w:sz w:val="18"/>
          <w:szCs w:val="18"/>
          <w:color w:val="auto"/>
          <w:vertAlign w:val="superscript"/>
        </w:rPr>
        <w:t>th</w:t>
      </w:r>
      <w:r>
        <w:rPr>
          <w:rFonts w:ascii="Arial" w:cs="Arial" w:eastAsia="Arial" w:hAnsi="Arial"/>
          <w:sz w:val="18"/>
          <w:szCs w:val="18"/>
          <w:color w:val="auto"/>
        </w:rPr>
        <w:t>. The Senior Unsecured Notes are not guaranteed by any of Ocwen’s subsidiaries.</w:t>
      </w:r>
    </w:p>
    <w:p>
      <w:pPr>
        <w:spacing w:after="0" w:line="6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Ocwen entered into a Registration Rights Agreement under which it agreed for the benefit of the initial purchasers of the Senior Unsecured Notes to use commercially reasonable efforts to file a registration statement and to have the registration statement become effective on or prior to 270 days after the closing of the offering. Because the exchange offer was not completed on or before 270 days after the closing of the offering, additional interest accrues on the principal amount of the notes at a rate of 0.25% per annum (which rate will be increased by an additional 0.25% per annum for each subsequent 90-day period that such additional interest continues to accrue to a maximum of 1.0% per annum) until the exchange offer is completed or the shelf registration statement, if required, is declared effective.</w:t>
      </w:r>
    </w:p>
    <w:p>
      <w:pPr>
        <w:spacing w:after="0" w:line="3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connection with our issuance of the Senior Unsecured Notes, we incurred certain costs that we capitalized and are amortizing over the period from the date of issuance to May 15, 2019. The unamortized balance of these issuance costs was $5.5 million at March 31, 2015.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additional debt, paying dividends, repurchasing or redeeming capital stock, transferring assets or making loans, investments or acquisitions;</w:t>
      </w:r>
    </w:p>
    <w:p>
      <w:pPr>
        <w:ind w:left="660" w:right="2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right="36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specified interest coverage ratio, which is defined under our SSTL as the ratio of trailing four quarter adjusted EBITDA to trailing four quarter interest expense (each as defined therein);</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specified corporate leverage ratio, which is defined under our SSTL as consolidated debt to trailing four quarter adjusted EBITDA (each as defined therein);</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specified consolidated total debt to consolidated tangible net worth ratio;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specified loan to value ratio, as defined under our SSTL;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specified levels of consolidated tangible net worth, liquidity and at the OLS level, net operating income.</w:t>
      </w:r>
    </w:p>
    <w:p>
      <w:pPr>
        <w:spacing w:after="0" w:line="103"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As of March 31, 2015, the most restrictive consolidated tangible net worth requirement was $630.0 million plus 65% of quarterly net income, without adjustment for quarterly net losses, beginning with the three months ended December 31, 2012. The required consolidated tangible net worth in connection with this agreement was $979.4 million at March 31, 2015.</w:t>
      </w:r>
    </w:p>
    <w:p>
      <w:pPr>
        <w:spacing w:after="0" w:line="7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6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Under one of its advance financing agreements, OLS must maintain certain minimum servicer ratings assigned by Moody’s, S&amp;P and Fitch Ratings. If any of these rating agencies withdraws its rating or if the assigned ratings fall below the minimum ratings established in the lending agreement, an early amortization event occurs under the lending agreement if the lender’s agent notifies the indenture trustee that an early amortization event shall occur. As a result of downgrades in our servicer ratings, the lender has the right to deliver such notice at any time. The lender has agreed not to deliver such a notice to the indenture trustee subject to ongoing monthly review. If an early amortization event occurs and is not waived by the lender, no new advances can be funded under the facility, all collections on advances funded through the facility must be used to pay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5" w:name="page36"/>
    <w:bookmarkEnd w:id="35"/>
    <w:p>
      <w:pPr>
        <w:ind w:right="60"/>
        <w:spacing w:after="0" w:line="255" w:lineRule="auto"/>
        <w:rPr>
          <w:sz w:val="20"/>
          <w:szCs w:val="20"/>
          <w:color w:val="auto"/>
        </w:rPr>
      </w:pPr>
      <w:r>
        <w:rPr>
          <w:rFonts w:ascii="Arial" w:cs="Arial" w:eastAsia="Arial" w:hAnsi="Arial"/>
          <w:sz w:val="18"/>
          <w:szCs w:val="18"/>
          <w:color w:val="auto"/>
        </w:rPr>
        <w:t>interest and principal on currently outstanding borrowings under the facility, and additionally, the interest rate margin on 1-month LIBOR would increase. At March 31, 2015, we had $348.3 million of borrowings outstanding under this facility out of a maximum borrowing capacity of $400.0 million. The scheduled date to begin amortization of this facility is June 2015. As described in Note 1A — Business Environment and Other Uncertainties, we have entered into a commitment letter providing for replacement financing should the existing lender under this facility seek not to renew or extend the revolving period upon its completion in June 2015. Our lender’s obligation to fund under this commitment letter is subject to conditions precedent, some of which are outside our control.</w:t>
      </w:r>
    </w:p>
    <w:p>
      <w:pPr>
        <w:spacing w:after="0" w:line="8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12 – Other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 (1)</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283,900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274,265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135,482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142,592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119,182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to related parties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114,980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55,585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Payable to loan servicing and subservicing investors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35,246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67,722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selected tax items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28,436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Checks held for escheat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87,873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73,503</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822,244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793,534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72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connection with the Ginnie Mae EBO Transactions, we have re-recognized certain loans on our consolidated balance sheets and establish a corresponding repurchase liability regardless of our intention to repurchase the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Financial Instruments and Hedging Activities</w:t>
      </w:r>
    </w:p>
    <w:p>
      <w:pPr>
        <w:spacing w:after="0" w:line="121"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three months ended March 31,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Forward MBS</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IRLCs</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Trades</w:t>
            </w: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Caps</w:t>
            </w:r>
          </w:p>
        </w:tc>
        <w:tc>
          <w:tcPr>
            <w:tcW w:w="24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Swaps</w:t>
            </w:r>
          </w:p>
        </w:tc>
        <w:tc>
          <w:tcPr>
            <w:tcW w:w="0" w:type="dxa"/>
            <w:vAlign w:val="bottom"/>
          </w:tcPr>
          <w:p>
            <w:pPr>
              <w:spacing w:after="0"/>
              <w:rPr>
                <w:sz w:val="1"/>
                <w:szCs w:val="1"/>
                <w:color w:val="auto"/>
              </w:rPr>
            </w:pPr>
          </w:p>
        </w:tc>
      </w:tr>
      <w:tr>
        <w:trPr>
          <w:trHeight w:val="27"/>
        </w:trPr>
        <w:tc>
          <w:tcPr>
            <w:tcW w:w="4520" w:type="dxa"/>
            <w:vAlign w:val="bottom"/>
            <w:tcBorders>
              <w:bottom w:val="single" w:sz="8" w:color="EAF9E8"/>
            </w:tcBorders>
          </w:tcPr>
          <w:p>
            <w:pPr>
              <w:spacing w:after="0"/>
              <w:rPr>
                <w:sz w:val="2"/>
                <w:szCs w:val="2"/>
                <w:color w:val="auto"/>
              </w:rPr>
            </w:pPr>
          </w:p>
        </w:tc>
        <w:tc>
          <w:tcPr>
            <w:tcW w:w="15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notional balance</w:t>
            </w:r>
          </w:p>
        </w:tc>
        <w:tc>
          <w:tcPr>
            <w:tcW w:w="1740" w:type="dxa"/>
            <w:vAlign w:val="bottom"/>
            <w:tcBorders>
              <w:bottom w:val="single" w:sz="8" w:color="EAF9E8"/>
            </w:tcBorders>
            <w:gridSpan w:val="2"/>
            <w:shd w:val="clear" w:color="auto" w:fill="EAF9E8"/>
          </w:tcPr>
          <w:p>
            <w:pPr>
              <w:ind w:left="15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239,406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703,725</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1,729,000</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1,288,957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2,481,134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15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(102,000)</w:t>
            </w:r>
          </w:p>
        </w:tc>
        <w:tc>
          <w:tcPr>
            <w:tcW w:w="2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(964,465)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(1,121,701)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15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(144,390)</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(1,349,218)</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97"/>
        </w:trPr>
        <w:tc>
          <w:tcPr>
            <w:tcW w:w="452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notional balance</w:t>
            </w:r>
          </w:p>
        </w:tc>
        <w:tc>
          <w:tcPr>
            <w:tcW w:w="15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419,508</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783,713</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1,627,000</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520" w:type="dxa"/>
            <w:vAlign w:val="bottom"/>
            <w:shd w:val="clear" w:color="auto" w:fill="EAF9E8"/>
          </w:tcPr>
          <w:p>
            <w:pPr>
              <w:spacing w:after="0"/>
              <w:rPr>
                <w:sz w:val="24"/>
                <w:szCs w:val="24"/>
                <w:color w:val="auto"/>
              </w:rPr>
            </w:pPr>
          </w:p>
        </w:tc>
        <w:tc>
          <w:tcPr>
            <w:tcW w:w="15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Fair value of derivative assets (liabilities) at:</w:t>
            </w: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March 31, 2015</w:t>
            </w:r>
          </w:p>
        </w:tc>
        <w:tc>
          <w:tcPr>
            <w:tcW w:w="15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9,516</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203</w:t>
            </w: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20" w:type="dxa"/>
            <w:vAlign w:val="bottom"/>
          </w:tcPr>
          <w:p>
            <w:pPr>
              <w:ind w:left="180"/>
              <w:spacing w:after="0"/>
              <w:rPr>
                <w:sz w:val="20"/>
                <w:szCs w:val="20"/>
                <w:color w:val="auto"/>
              </w:rPr>
            </w:pPr>
            <w:r>
              <w:rPr>
                <w:rFonts w:ascii="Arial" w:cs="Arial" w:eastAsia="Arial" w:hAnsi="Arial"/>
                <w:sz w:val="18"/>
                <w:szCs w:val="18"/>
                <w:color w:val="auto"/>
              </w:rPr>
              <w:t>December 31, 2014</w:t>
            </w:r>
          </w:p>
        </w:tc>
        <w:tc>
          <w:tcPr>
            <w:tcW w:w="17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(2,854)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520" w:type="dxa"/>
            <w:vAlign w:val="bottom"/>
            <w:tcBorders>
              <w:top w:val="single" w:sz="8" w:color="EAF9E8"/>
            </w:tcBorders>
            <w:shd w:val="clear" w:color="auto" w:fill="EAF9E8"/>
          </w:tcPr>
          <w:p>
            <w:pPr>
              <w:spacing w:after="0"/>
              <w:rPr>
                <w:sz w:val="24"/>
                <w:szCs w:val="24"/>
                <w:color w:val="auto"/>
              </w:rPr>
            </w:pPr>
          </w:p>
        </w:tc>
        <w:tc>
          <w:tcPr>
            <w:tcW w:w="1500" w:type="dxa"/>
            <w:vAlign w:val="bottom"/>
            <w:tcBorders>
              <w:top w:val="single" w:sz="8" w:color="EAF9E8"/>
            </w:tcBorders>
            <w:shd w:val="clear" w:color="auto" w:fill="EAF9E8"/>
          </w:tcPr>
          <w:p>
            <w:pPr>
              <w:spacing w:after="0"/>
              <w:rPr>
                <w:sz w:val="24"/>
                <w:szCs w:val="24"/>
                <w:color w:val="auto"/>
              </w:rPr>
            </w:pPr>
          </w:p>
        </w:tc>
        <w:tc>
          <w:tcPr>
            <w:tcW w:w="240" w:type="dxa"/>
            <w:vAlign w:val="bottom"/>
            <w:tcBorders>
              <w:top w:val="single" w:sz="8" w:color="auto"/>
            </w:tcBorders>
            <w:shd w:val="clear" w:color="auto" w:fill="EAF9E8"/>
          </w:tcPr>
          <w:p>
            <w:pPr>
              <w:spacing w:after="0"/>
              <w:rPr>
                <w:sz w:val="24"/>
                <w:szCs w:val="24"/>
                <w:color w:val="auto"/>
              </w:rPr>
            </w:pPr>
          </w:p>
        </w:tc>
        <w:tc>
          <w:tcPr>
            <w:tcW w:w="98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06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140" w:type="dxa"/>
            <w:vAlign w:val="bottom"/>
            <w:tcBorders>
              <w:top w:val="single" w:sz="8" w:color="auto"/>
            </w:tcBorders>
            <w:shd w:val="clear" w:color="auto" w:fill="EAF9E8"/>
          </w:tcPr>
          <w:p>
            <w:pPr>
              <w:spacing w:after="0"/>
              <w:rPr>
                <w:sz w:val="24"/>
                <w:szCs w:val="24"/>
                <w:color w:val="auto"/>
              </w:rPr>
            </w:pPr>
          </w:p>
        </w:tc>
        <w:tc>
          <w:tcPr>
            <w:tcW w:w="1080" w:type="dxa"/>
            <w:vAlign w:val="bottom"/>
            <w:tcBorders>
              <w:top w:val="single" w:sz="8" w:color="auto"/>
            </w:tcBorders>
            <w:shd w:val="clear" w:color="auto" w:fill="EAF9E8"/>
          </w:tcPr>
          <w:p>
            <w:pPr>
              <w:spacing w:after="0"/>
              <w:rPr>
                <w:sz w:val="24"/>
                <w:szCs w:val="24"/>
                <w:color w:val="auto"/>
              </w:rPr>
            </w:pPr>
          </w:p>
        </w:tc>
        <w:tc>
          <w:tcPr>
            <w:tcW w:w="240" w:type="dxa"/>
            <w:vAlign w:val="bottom"/>
            <w:tcBorders>
              <w:top w:val="single" w:sz="8" w:color="auto"/>
            </w:tcBorders>
            <w:shd w:val="clear" w:color="auto" w:fill="EAF9E8"/>
          </w:tcPr>
          <w:p>
            <w:pPr>
              <w:spacing w:after="0"/>
              <w:rPr>
                <w:sz w:val="24"/>
                <w:szCs w:val="24"/>
                <w:color w:val="auto"/>
              </w:rPr>
            </w:pPr>
          </w:p>
        </w:tc>
        <w:tc>
          <w:tcPr>
            <w:tcW w:w="980" w:type="dxa"/>
            <w:vAlign w:val="bottom"/>
            <w:tcBorders>
              <w:top w:val="single" w:sz="8" w:color="auto"/>
            </w:tcBorders>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Maturity</w:t>
            </w:r>
          </w:p>
        </w:tc>
        <w:tc>
          <w:tcPr>
            <w:tcW w:w="1500" w:type="dxa"/>
            <w:vAlign w:val="bottom"/>
          </w:tcPr>
          <w:p>
            <w:pPr>
              <w:spacing w:after="0"/>
              <w:rPr>
                <w:sz w:val="19"/>
                <w:szCs w:val="19"/>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99"/>
              </w:rPr>
              <w:t>Apr. 2015 - Jun.</w:t>
            </w:r>
          </w:p>
        </w:tc>
        <w:tc>
          <w:tcPr>
            <w:tcW w:w="16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May 2015 -</w:t>
            </w:r>
          </w:p>
        </w:tc>
        <w:tc>
          <w:tcPr>
            <w:tcW w:w="140" w:type="dxa"/>
            <w:vAlign w:val="bottom"/>
          </w:tcPr>
          <w:p>
            <w:pPr>
              <w:spacing w:after="0"/>
              <w:rPr>
                <w:sz w:val="19"/>
                <w:szCs w:val="19"/>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2"/>
              </w:rPr>
              <w:t>Nov. 2016 -</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2015</w:t>
            </w: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89"/>
              </w:rPr>
              <w:t>Oct. 2017</w:t>
            </w:r>
          </w:p>
        </w:tc>
        <w:tc>
          <w:tcPr>
            <w:tcW w:w="24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86"/>
        </w:trPr>
        <w:tc>
          <w:tcPr>
            <w:tcW w:w="452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36" w:name="page37"/>
    <w:bookmarkEnd w:id="36"/>
    <w:p>
      <w:pPr>
        <w:ind w:left="500" w:right="380" w:hanging="411"/>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commitments and originations and expected time to sell.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periodically enter into foreign exchange forward contracts to hedge against the effect of changes in the value of the India Rupee on amounts payable to our India subsidiaries. Our operations in the Philippines also expose us to foreign currency exchange rate risk, but we currently consider this risk to be insignificant.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one-month LIBOR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fixed and variable rate loan commitments.</w:t>
      </w:r>
    </w:p>
    <w:p>
      <w:pPr>
        <w:spacing w:after="0" w:line="8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following summarizes our open derivative positions at March 31, 2015 and the gains (losses) on all derivatives used in each of the identified hedging programs for the year to date period then ended. None of the derivatives was designated as a hedge for accounting purposes at March 31, 2015: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Statements of</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w:t>
            </w: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Gains /</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5280" w:type="dxa"/>
            <w:vAlign w:val="bottom"/>
            <w:gridSpan w:val="2"/>
          </w:tcPr>
          <w:p>
            <w:pPr>
              <w:ind w:left="2260"/>
              <w:spacing w:after="0"/>
              <w:rPr>
                <w:sz w:val="20"/>
                <w:szCs w:val="20"/>
                <w:color w:val="auto"/>
              </w:rPr>
            </w:pPr>
            <w:r>
              <w:rPr>
                <w:rFonts w:ascii="Arial" w:cs="Arial" w:eastAsia="Arial" w:hAnsi="Arial"/>
                <w:sz w:val="18"/>
                <w:szCs w:val="18"/>
                <w:b w:val="1"/>
                <w:bCs w:val="1"/>
                <w:color w:val="auto"/>
              </w:rPr>
              <w:t>Purpose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528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w w:val="89"/>
              </w:rPr>
              <w:t>Hedge the effect of changes in interest rates on interest expense on</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37"/>
        </w:trPr>
        <w:tc>
          <w:tcPr>
            <w:tcW w:w="52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i w:val="1"/>
                <w:iCs w:val="1"/>
                <w:color w:val="auto"/>
              </w:rPr>
              <w:t>borrowings</w:t>
            </w: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spacing w:after="0"/>
              <w:rPr>
                <w:sz w:val="20"/>
                <w:szCs w:val="20"/>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Interest rate caps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Nov. 2016 -</w:t>
            </w: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37"/>
        </w:trPr>
        <w:tc>
          <w:tcPr>
            <w:tcW w:w="528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w w:val="96"/>
              </w:rPr>
              <w:t>Hedge the effect of changes in 1ML on advance funding facilities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2017</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1,627,000</w:t>
            </w: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net</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98"/>
              </w:rPr>
              <w:t>Interest rate risk of mortgage loans held for sale and of IRLCs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3"/>
              </w:rPr>
              <w:t>May 2015 -</w:t>
            </w: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7"/>
        </w:trPr>
        <w:tc>
          <w:tcPr>
            <w:tcW w:w="52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Forward MBS trades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June 2015</w:t>
            </w: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783,713</w:t>
            </w: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 sale, net</w:t>
            </w: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April 2015 -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0"/>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IRLCs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2015</w:t>
            </w: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419,508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9,516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 sale, net</w:t>
            </w:r>
          </w:p>
        </w:tc>
      </w:tr>
      <w:tr>
        <w:trPr>
          <w:trHeight w:val="27"/>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8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b w:val="1"/>
                <w:bCs w:val="1"/>
                <w:color w:val="auto"/>
              </w:rPr>
              <w:t>Total derivatives</w:t>
            </w: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4,470</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left="5620" w:right="1220" w:hanging="5612"/>
        <w:spacing w:after="0" w:line="559" w:lineRule="auto"/>
        <w:tabs>
          <w:tab w:leader="none" w:pos="4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or in Other liabilities on our unaudited Consolidated Balance Sheets. 35</w:t>
      </w:r>
    </w:p>
    <w:p>
      <w:pPr>
        <w:sectPr>
          <w:pgSz w:w="11900" w:h="16838" w:orient="portrait"/>
          <w:cols w:equalWidth="0" w:num="1">
            <w:col w:w="11420"/>
          </w:cols>
          <w:pgMar w:left="240" w:top="692" w:right="239" w:bottom="1440" w:gutter="0" w:footer="0" w:header="0"/>
        </w:sectPr>
      </w:pPr>
    </w:p>
    <w:bookmarkStart w:id="37" w:name="page38"/>
    <w:bookmarkEnd w:id="37"/>
    <w:p>
      <w:pPr>
        <w:ind w:left="60" w:right="340" w:firstLine="324"/>
        <w:spacing w:after="0" w:line="264" w:lineRule="auto"/>
        <w:rPr>
          <w:sz w:val="20"/>
          <w:szCs w:val="20"/>
          <w:color w:val="auto"/>
        </w:rPr>
      </w:pPr>
      <w:r>
        <w:rPr>
          <w:rFonts w:ascii="Arial" w:cs="Arial" w:eastAsia="Arial" w:hAnsi="Arial"/>
          <w:sz w:val="18"/>
          <w:szCs w:val="18"/>
          <w:color w:val="auto"/>
        </w:rPr>
        <w:t>Included in AOCL at March 31, 2015 and 2014, respectively, were $8.3 million and $10.0 million of deferred unrealized losses, before taxes of $0.5 million and $0.6 million, respectively, on interest rate swaps that we designated as cash flow hedges. Changes in AOCL during the three months ended March 31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8,413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r>
      <w:tr>
        <w:trPr>
          <w:trHeight w:val="318"/>
        </w:trPr>
        <w:tc>
          <w:tcPr>
            <w:tcW w:w="83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Losses on terminated hedging relationships amortized to earnings</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 deferred taxes on accumulated losses on cash flow hedges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accumulated losses on cash flow hedges, net of taxes</w:t>
            </w:r>
          </w:p>
        </w:tc>
        <w:tc>
          <w:tcPr>
            <w:tcW w:w="96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(608)</w:t>
            </w:r>
          </w:p>
        </w:tc>
      </w:tr>
      <w:tr>
        <w:trPr>
          <w:trHeight w:val="318"/>
        </w:trPr>
        <w:tc>
          <w:tcPr>
            <w:tcW w:w="83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 of taxes</w:t>
            </w:r>
          </w:p>
        </w:tc>
        <w:tc>
          <w:tcPr>
            <w:tcW w:w="960" w:type="dxa"/>
            <w:vAlign w:val="bottom"/>
            <w:tcBorders>
              <w:bottom w:val="single" w:sz="8" w:color="EAF9E8"/>
            </w:tcBorders>
            <w:shd w:val="clear" w:color="auto" w:fill="EAF9E8"/>
          </w:tcPr>
          <w:p>
            <w:pPr>
              <w:spacing w:after="0"/>
              <w:rPr>
                <w:sz w:val="23"/>
                <w:szCs w:val="23"/>
                <w:color w:val="auto"/>
              </w:rPr>
            </w:pPr>
          </w:p>
        </w:tc>
        <w:tc>
          <w:tcPr>
            <w:tcW w:w="6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7,995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9,542</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As of March 31, 2015, amortization of accumulated losses on cash flow hedges from AOCL to Other income (expense), net is projected to be $1.9 million during the next twelve months. To the extent we sell the MSRs to which the accumulated losses on cash flow hedges applied, a proportionate amount of the remaining unamortized accumulated losses associated with the MSRs sold will be recognized in earnings at that time.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Losses on economic hedges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Write-off of losses in AOCL for a discontinued hedge relationship</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14 – Interest Expense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w w:val="97"/>
              </w:rPr>
              <w:t>The following table presents the components of interest expense for the three months ended March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Financing liabilities (1) (2)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73,824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100,230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21,284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6.625% Senior unsecured notes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119,396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139,873</w:t>
            </w:r>
          </w:p>
        </w:tc>
        <w:tc>
          <w:tcPr>
            <w:tcW w:w="0" w:type="dxa"/>
            <w:vAlign w:val="bottom"/>
          </w:tcPr>
          <w:p>
            <w:pPr>
              <w:spacing w:after="0"/>
              <w:rPr>
                <w:sz w:val="1"/>
                <w:szCs w:val="1"/>
                <w:color w:val="auto"/>
              </w:rPr>
            </w:pP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interest expense related to financing liabilities recorded in connection with the HLSS Transactions as indicated in the table below.</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Servicing fees collected on behalf of HLSS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180,297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189,157</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5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Less: Subservicing fee retained by Ocwen</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91,214</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90,161</w:t>
            </w:r>
          </w:p>
        </w:tc>
      </w:tr>
      <w:tr>
        <w:trPr>
          <w:trHeight w:val="237"/>
        </w:trPr>
        <w:tc>
          <w:tcPr>
            <w:tcW w:w="7540" w:type="dxa"/>
            <w:vAlign w:val="bottom"/>
          </w:tcPr>
          <w:p>
            <w:pPr>
              <w:ind w:left="260"/>
              <w:spacing w:after="0"/>
              <w:rPr>
                <w:sz w:val="20"/>
                <w:szCs w:val="20"/>
                <w:color w:val="auto"/>
              </w:rPr>
            </w:pPr>
            <w:r>
              <w:rPr>
                <w:rFonts w:ascii="Arial" w:cs="Arial" w:eastAsia="Arial" w:hAnsi="Arial"/>
                <w:sz w:val="18"/>
                <w:szCs w:val="18"/>
                <w:color w:val="auto"/>
              </w:rPr>
              <w:t>Net servicing fees remitted to HLSS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89,083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98,996</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5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Less: Reduction in financing liability</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17,723</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color w:val="auto"/>
              </w:rPr>
              <w:t>Interest expense on HLSS financing liability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71,360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98,996</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expense that we expect to be paid on the HMBS-related borrowings is included with net fair value gains in Other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Basic and Diluted Earnings per Share</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Basic earnings per share excludes common stock equivalents and is calculated by dividing net income attributable to Ocwen common stockholders by the weighted average number of common shares outstanding during the year. We calculate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8" w:name="page39"/>
    <w:bookmarkEnd w:id="38"/>
    <w:p>
      <w:pPr>
        <w:ind w:right="60"/>
        <w:spacing w:after="0" w:line="259" w:lineRule="auto"/>
        <w:rPr>
          <w:sz w:val="20"/>
          <w:szCs w:val="20"/>
          <w:color w:val="auto"/>
        </w:rPr>
      </w:pPr>
      <w:r>
        <w:rPr>
          <w:rFonts w:ascii="Arial" w:cs="Arial" w:eastAsia="Arial" w:hAnsi="Arial"/>
          <w:sz w:val="18"/>
          <w:szCs w:val="18"/>
          <w:color w:val="auto"/>
        </w:rPr>
        <w:t>diluted earnings per share by dividing net income attributable to Ocwen, as adjusted to add back any preferred stock dividends, by the weighted average number of common shares outstanding including the potential dilutive common shares related to outstanding stock options, restricted stock awards and preferred stock. The following is a reconciliation of the calculation of basic earnings per share to diluted earnings per share for the three months ended March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340" w:type="dxa"/>
            <w:vAlign w:val="bottom"/>
            <w:gridSpan w:val="4"/>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34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Net income attributable to Ocwen common stockholders</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34,355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59,504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125,272,228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135,227,067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40" w:type="dxa"/>
            <w:vAlign w:val="bottom"/>
            <w:gridSpan w:val="4"/>
            <w:shd w:val="clear" w:color="auto" w:fill="EAF9E8"/>
          </w:tcPr>
          <w:p>
            <w:pPr>
              <w:ind w:left="40"/>
              <w:spacing w:after="0" w:line="202" w:lineRule="exact"/>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1800" w:type="dxa"/>
            <w:vAlign w:val="bottom"/>
            <w:tcBorders>
              <w:top w:val="single" w:sz="8" w:color="auto"/>
            </w:tcBorders>
            <w:shd w:val="clear" w:color="auto" w:fill="EAF9E8"/>
          </w:tcPr>
          <w:p>
            <w:pPr>
              <w:spacing w:after="0"/>
              <w:rPr>
                <w:sz w:val="4"/>
                <w:szCs w:val="4"/>
                <w:color w:val="auto"/>
              </w:rPr>
            </w:pPr>
          </w:p>
        </w:tc>
        <w:tc>
          <w:tcPr>
            <w:tcW w:w="140" w:type="dxa"/>
            <w:vAlign w:val="bottom"/>
            <w:tcBorders>
              <w:top w:val="single" w:sz="8" w:color="auto"/>
            </w:tcBorders>
            <w:shd w:val="clear" w:color="auto" w:fill="EAF9E8"/>
          </w:tcPr>
          <w:p>
            <w:pPr>
              <w:spacing w:after="0"/>
              <w:rPr>
                <w:sz w:val="4"/>
                <w:szCs w:val="4"/>
                <w:color w:val="auto"/>
              </w:rPr>
            </w:pPr>
          </w:p>
        </w:tc>
        <w:tc>
          <w:tcPr>
            <w:tcW w:w="636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Net income attributable to Ocwen common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34,355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59,504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83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Preferred stock dividends (1)</w:t>
            </w: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97"/>
        </w:trPr>
        <w:tc>
          <w:tcPr>
            <w:tcW w:w="40" w:type="dxa"/>
            <w:vAlign w:val="bottom"/>
            <w:tcBorders>
              <w:bottom w:val="single" w:sz="8" w:color="EAF9E8"/>
            </w:tcBorders>
          </w:tcPr>
          <w:p>
            <w:pPr>
              <w:spacing w:after="0"/>
              <w:rPr>
                <w:sz w:val="24"/>
                <w:szCs w:val="24"/>
                <w:color w:val="auto"/>
              </w:rPr>
            </w:pPr>
          </w:p>
        </w:tc>
        <w:tc>
          <w:tcPr>
            <w:tcW w:w="830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Adjusted net income attributable to Ocwen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34,355</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60,501</w:t>
            </w:r>
          </w:p>
        </w:tc>
        <w:tc>
          <w:tcPr>
            <w:tcW w:w="0" w:type="dxa"/>
            <w:vAlign w:val="bottom"/>
          </w:tcPr>
          <w:p>
            <w:pPr>
              <w:spacing w:after="0"/>
              <w:rPr>
                <w:sz w:val="1"/>
                <w:szCs w:val="1"/>
                <w:color w:val="auto"/>
              </w:rPr>
            </w:pP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36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125,272,228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135,227,067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Effect of dilutive elements: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240"/>
              <w:spacing w:after="0"/>
              <w:rPr>
                <w:sz w:val="20"/>
                <w:szCs w:val="20"/>
                <w:color w:val="auto"/>
              </w:rPr>
            </w:pPr>
            <w:r>
              <w:rPr>
                <w:rFonts w:ascii="Arial" w:cs="Arial" w:eastAsia="Arial" w:hAnsi="Arial"/>
                <w:sz w:val="18"/>
                <w:szCs w:val="18"/>
                <w:color w:val="auto"/>
              </w:rPr>
              <w:t>Preferred stock (1)</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1,950,298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83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Stock options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1,725,280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3,908,333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240"/>
              <w:spacing w:after="0"/>
              <w:rPr>
                <w:sz w:val="20"/>
                <w:szCs w:val="20"/>
                <w:color w:val="auto"/>
              </w:rPr>
            </w:pPr>
            <w:r>
              <w:rPr>
                <w:rFonts w:ascii="Arial" w:cs="Arial" w:eastAsia="Arial" w:hAnsi="Arial"/>
                <w:sz w:val="18"/>
                <w:szCs w:val="18"/>
                <w:color w:val="auto"/>
              </w:rPr>
              <w:t>Common stock awards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18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63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Dilutive weighted average shares of common stock</w:t>
            </w:r>
          </w:p>
        </w:tc>
        <w:tc>
          <w:tcPr>
            <w:tcW w:w="30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126,999,662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141,089,455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Stock options and common stock awards excluded from the computation of diluted earnings per share: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Anti-dilutive (2)</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2,010,902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EAF9E8"/>
          </w:tcPr>
          <w:p>
            <w:pPr>
              <w:spacing w:after="0"/>
              <w:rPr>
                <w:sz w:val="21"/>
                <w:szCs w:val="21"/>
                <w:color w:val="auto"/>
              </w:rPr>
            </w:pPr>
          </w:p>
        </w:tc>
        <w:tc>
          <w:tcPr>
            <w:tcW w:w="830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Market-based (3)</w:t>
            </w:r>
          </w:p>
        </w:tc>
        <w:tc>
          <w:tcPr>
            <w:tcW w:w="30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851,263</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27"/>
        </w:trPr>
        <w:tc>
          <w:tcPr>
            <w:tcW w:w="40" w:type="dxa"/>
            <w:vAlign w:val="bottom"/>
            <w:shd w:val="clear" w:color="auto" w:fill="EAF9E8"/>
          </w:tcPr>
          <w:p>
            <w:pPr>
              <w:spacing w:after="0"/>
              <w:rPr>
                <w:sz w:val="2"/>
                <w:szCs w:val="2"/>
                <w:color w:val="auto"/>
              </w:rPr>
            </w:pPr>
          </w:p>
        </w:tc>
        <w:tc>
          <w:tcPr>
            <w:tcW w:w="18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636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hanging="492"/>
        <w:spacing w:after="0" w:line="256"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the conversion of our remaining preferred stock into common stock in July 2014, we computed the effect on diluted earnings per share using the if-converted method. For purposes of computing diluted earnings per share, we assume the conversion of the preferred stock into shares of common stock unless the effect is anti-dilutive.</w:t>
      </w: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options were anti-dilutive because their exercise price was greater than the average market price of our stock.</w:t>
      </w:r>
    </w:p>
    <w:p>
      <w:pPr>
        <w:spacing w:after="0" w:line="9" w:lineRule="exact"/>
        <w:rPr>
          <w:rFonts w:ascii="Arial" w:cs="Arial" w:eastAsia="Arial" w:hAnsi="Arial"/>
          <w:sz w:val="18"/>
          <w:szCs w:val="18"/>
          <w:color w:val="auto"/>
        </w:rPr>
      </w:pPr>
    </w:p>
    <w:p>
      <w:pPr>
        <w:ind w:left="500" w:right="640" w:hanging="492"/>
        <w:spacing w:after="0" w:line="261"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Ocwen’s stock price and an annualized rate of return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 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 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692"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t>with mortgage customers. The loans are typically sold shortly after origination into a liquid market on a servicing retained basis.</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that are not directly related to other reportable segments,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that are individually insignificant, interest income on short-term investments of cash, interest expense on corporate debt and certain corporate expenses. Business activities not currently considered to be of continuing significance include residential subprime non-Agency loans held for sale (at lower of cost or fair value), investments in residential mortgage-backed securities, investments in unconsolidated entities and affordable housing investment activities.</w:t>
      </w:r>
    </w:p>
    <w:p>
      <w:pPr>
        <w:spacing w:after="0" w:line="8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66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Three months ended March 31, 2015</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660" w:type="dxa"/>
            <w:vAlign w:val="bottom"/>
            <w:tcBorders>
              <w:top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471,125</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37,746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510,444</w:t>
            </w:r>
          </w:p>
        </w:tc>
      </w:tr>
      <w:tr>
        <w:trPr>
          <w:trHeight w:val="291"/>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337,911</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23,785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16,697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378,358</w:t>
            </w:r>
          </w:p>
        </w:tc>
      </w:tr>
      <w:tr>
        <w:trPr>
          <w:trHeight w:val="291"/>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5,575</w:t>
            </w: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(110,629)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(119,396)</w:t>
            </w: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Other (1)</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22,766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24,564</w:t>
            </w:r>
          </w:p>
        </w:tc>
      </w:tr>
      <w:tr>
        <w:trPr>
          <w:trHeight w:val="27"/>
        </w:trPr>
        <w:tc>
          <w:tcPr>
            <w:tcW w:w="40" w:type="dxa"/>
            <w:vAlign w:val="bottom"/>
            <w:tcBorders>
              <w:bottom w:val="single" w:sz="8" w:color="EAF9E8"/>
            </w:tcBorders>
          </w:tcPr>
          <w:p>
            <w:pPr>
              <w:spacing w:after="0"/>
              <w:rPr>
                <w:sz w:val="2"/>
                <w:szCs w:val="2"/>
                <w:color w:val="auto"/>
              </w:rPr>
            </w:pPr>
          </w:p>
        </w:tc>
        <w:tc>
          <w:tcPr>
            <w:tcW w:w="266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3500" w:type="dxa"/>
            <w:vAlign w:val="bottom"/>
            <w:tcBorders>
              <w:bottom w:val="single" w:sz="8" w:color="EAF9E8"/>
            </w:tcBorders>
            <w:gridSpan w:val="2"/>
            <w:shd w:val="clear" w:color="auto" w:fill="EAF9E8"/>
          </w:tcPr>
          <w:p>
            <w:pPr>
              <w:ind w:left="6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(86,492)</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(89,257)</w:t>
            </w:r>
          </w:p>
        </w:tc>
      </w:tr>
      <w:tr>
        <w:trPr>
          <w:trHeight w:val="183"/>
        </w:trPr>
        <w:tc>
          <w:tcPr>
            <w:tcW w:w="40" w:type="dxa"/>
            <w:vAlign w:val="bottom"/>
            <w:tcBorders>
              <w:bottom w:val="single" w:sz="8" w:color="EAF9E8"/>
            </w:tcBorders>
          </w:tcPr>
          <w:p>
            <w:pPr>
              <w:spacing w:after="0"/>
              <w:rPr>
                <w:sz w:val="15"/>
                <w:szCs w:val="15"/>
                <w:color w:val="auto"/>
              </w:rPr>
            </w:pPr>
          </w:p>
        </w:tc>
        <w:tc>
          <w:tcPr>
            <w:tcW w:w="2660" w:type="dxa"/>
            <w:vAlign w:val="bottom"/>
            <w:tcBorders>
              <w:bottom w:val="single" w:sz="8" w:color="EAF9E8"/>
            </w:tcBorders>
          </w:tcPr>
          <w:p>
            <w:pPr>
              <w:spacing w:after="0"/>
              <w:rPr>
                <w:sz w:val="15"/>
                <w:szCs w:val="15"/>
                <w:color w:val="auto"/>
              </w:rPr>
            </w:pPr>
          </w:p>
        </w:tc>
        <w:tc>
          <w:tcPr>
            <w:tcW w:w="840" w:type="dxa"/>
            <w:vAlign w:val="bottom"/>
            <w:tcBorders>
              <w:bottom w:val="single" w:sz="8" w:color="EAF9E8"/>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EAF9E8"/>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EAF9E8"/>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EAF9E8"/>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EAF9E8"/>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spacing w:after="0"/>
              <w:rPr>
                <w:sz w:val="15"/>
                <w:szCs w:val="15"/>
                <w:color w:val="auto"/>
              </w:rPr>
            </w:pPr>
          </w:p>
        </w:tc>
      </w:tr>
      <w:tr>
        <w:trPr>
          <w:trHeight w:val="257"/>
        </w:trPr>
        <w:tc>
          <w:tcPr>
            <w:tcW w:w="40" w:type="dxa"/>
            <w:vAlign w:val="bottom"/>
            <w:shd w:val="clear" w:color="auto" w:fill="EAF9E8"/>
          </w:tcPr>
          <w:p>
            <w:pPr>
              <w:spacing w:after="0"/>
              <w:rPr>
                <w:sz w:val="22"/>
                <w:szCs w:val="22"/>
                <w:color w:val="auto"/>
              </w:rPr>
            </w:pPr>
          </w:p>
        </w:tc>
        <w:tc>
          <w:tcPr>
            <w:tcW w:w="35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46,722</w:t>
            </w: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15,983</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(19,876)</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42,829</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660" w:type="dxa"/>
            <w:vAlign w:val="bottom"/>
            <w:tcBorders>
              <w:top w:val="single" w:sz="8" w:color="EAF9E8"/>
            </w:tcBorders>
          </w:tcPr>
          <w:p>
            <w:pPr>
              <w:spacing w:after="0" w:line="20" w:lineRule="exact"/>
              <w:rPr>
                <w:sz w:val="1"/>
                <w:szCs w:val="1"/>
                <w:color w:val="auto"/>
              </w:rPr>
            </w:pPr>
          </w:p>
        </w:tc>
        <w:tc>
          <w:tcPr>
            <w:tcW w:w="84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0"/>
        </w:trPr>
        <w:tc>
          <w:tcPr>
            <w:tcW w:w="3540" w:type="dxa"/>
            <w:vAlign w:val="bottom"/>
            <w:gridSpan w:val="3"/>
            <w:shd w:val="clear" w:color="auto" w:fill="EAF9E8"/>
          </w:tcPr>
          <w:p>
            <w:pPr>
              <w:ind w:left="40"/>
              <w:spacing w:after="0" w:line="202" w:lineRule="exact"/>
              <w:rPr>
                <w:sz w:val="20"/>
                <w:szCs w:val="20"/>
                <w:color w:val="auto"/>
              </w:rPr>
            </w:pPr>
            <w:r>
              <w:rPr>
                <w:rFonts w:ascii="Arial" w:cs="Arial" w:eastAsia="Arial" w:hAnsi="Arial"/>
                <w:sz w:val="18"/>
                <w:szCs w:val="18"/>
                <w:color w:val="auto"/>
              </w:rPr>
              <w:t>Three months ended March 31, 2014</w:t>
            </w:r>
          </w:p>
        </w:tc>
        <w:tc>
          <w:tcPr>
            <w:tcW w:w="26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26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Revenue (1)</w:t>
            </w:r>
          </w:p>
        </w:tc>
        <w:tc>
          <w:tcPr>
            <w:tcW w:w="840" w:type="dxa"/>
            <w:vAlign w:val="bottom"/>
            <w:tcBorders>
              <w:top w:val="single" w:sz="8" w:color="EAF9E8"/>
            </w:tcBorders>
          </w:tcPr>
          <w:p>
            <w:pPr>
              <w:spacing w:after="0"/>
              <w:rPr>
                <w:sz w:val="21"/>
                <w:szCs w:val="21"/>
                <w:color w:val="auto"/>
              </w:rPr>
            </w:pPr>
          </w:p>
        </w:tc>
        <w:tc>
          <w:tcPr>
            <w:tcW w:w="260" w:type="dxa"/>
            <w:vAlign w:val="bottom"/>
            <w:tcBorders>
              <w:top w:val="single" w:sz="8" w:color="EAF9E8"/>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520,823</w:t>
            </w:r>
          </w:p>
        </w:tc>
        <w:tc>
          <w:tcPr>
            <w:tcW w:w="120" w:type="dxa"/>
            <w:vAlign w:val="bottom"/>
            <w:tcBorders>
              <w:top w:val="single" w:sz="8" w:color="EAF9E8"/>
            </w:tcBorders>
          </w:tcPr>
          <w:p>
            <w:pPr>
              <w:spacing w:after="0"/>
              <w:rPr>
                <w:sz w:val="21"/>
                <w:szCs w:val="21"/>
                <w:color w:val="auto"/>
              </w:rPr>
            </w:pPr>
          </w:p>
        </w:tc>
        <w:tc>
          <w:tcPr>
            <w:tcW w:w="280" w:type="dxa"/>
            <w:vAlign w:val="bottom"/>
            <w:tcBorders>
              <w:top w:val="single" w:sz="8" w:color="EAF9E8"/>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28,767</w:t>
            </w:r>
          </w:p>
        </w:tc>
        <w:tc>
          <w:tcPr>
            <w:tcW w:w="100" w:type="dxa"/>
            <w:vAlign w:val="bottom"/>
            <w:tcBorders>
              <w:top w:val="single" w:sz="8" w:color="EAF9E8"/>
            </w:tcBorders>
          </w:tcPr>
          <w:p>
            <w:pPr>
              <w:spacing w:after="0"/>
              <w:rPr>
                <w:sz w:val="21"/>
                <w:szCs w:val="21"/>
                <w:color w:val="auto"/>
              </w:rPr>
            </w:pPr>
          </w:p>
        </w:tc>
        <w:tc>
          <w:tcPr>
            <w:tcW w:w="24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1,711</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551,261</w:t>
            </w:r>
          </w:p>
        </w:tc>
      </w:tr>
      <w:tr>
        <w:trPr>
          <w:trHeight w:val="27"/>
        </w:trPr>
        <w:tc>
          <w:tcPr>
            <w:tcW w:w="40" w:type="dxa"/>
            <w:vAlign w:val="bottom"/>
            <w:tcBorders>
              <w:bottom w:val="single" w:sz="8" w:color="EAF9E8"/>
            </w:tcBorders>
          </w:tcPr>
          <w:p>
            <w:pPr>
              <w:spacing w:after="0"/>
              <w:rPr>
                <w:sz w:val="2"/>
                <w:szCs w:val="2"/>
                <w:color w:val="auto"/>
              </w:rPr>
            </w:pPr>
          </w:p>
        </w:tc>
        <w:tc>
          <w:tcPr>
            <w:tcW w:w="266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EAF9E8"/>
          </w:tcPr>
          <w:p>
            <w:pPr>
              <w:spacing w:after="0"/>
              <w:rPr>
                <w:sz w:val="24"/>
                <w:szCs w:val="24"/>
                <w:color w:val="auto"/>
              </w:rPr>
            </w:pPr>
          </w:p>
        </w:tc>
        <w:tc>
          <w:tcPr>
            <w:tcW w:w="266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Expenses (1) (2)</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307,933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349,194</w:t>
            </w:r>
          </w:p>
        </w:tc>
      </w:tr>
      <w:tr>
        <w:trPr>
          <w:trHeight w:val="27"/>
        </w:trPr>
        <w:tc>
          <w:tcPr>
            <w:tcW w:w="40" w:type="dxa"/>
            <w:vAlign w:val="bottom"/>
            <w:tcBorders>
              <w:bottom w:val="single" w:sz="8" w:color="EAF9E8"/>
            </w:tcBorders>
          </w:tcPr>
          <w:p>
            <w:pPr>
              <w:spacing w:after="0"/>
              <w:rPr>
                <w:sz w:val="2"/>
                <w:szCs w:val="2"/>
                <w:color w:val="auto"/>
              </w:rPr>
            </w:pPr>
          </w:p>
        </w:tc>
        <w:tc>
          <w:tcPr>
            <w:tcW w:w="266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shd w:val="clear" w:color="auto" w:fill="EAF9E8"/>
          </w:tcPr>
          <w:p>
            <w:pPr>
              <w:spacing w:after="0"/>
              <w:rPr>
                <w:sz w:val="22"/>
                <w:szCs w:val="22"/>
                <w:color w:val="auto"/>
              </w:rPr>
            </w:pPr>
          </w:p>
        </w:tc>
        <w:tc>
          <w:tcPr>
            <w:tcW w:w="2660" w:type="dxa"/>
            <w:vAlign w:val="bottom"/>
            <w:shd w:val="clear" w:color="auto" w:fill="EAF9E8"/>
          </w:tcPr>
          <w:p>
            <w:pPr>
              <w:spacing w:after="0"/>
              <w:rPr>
                <w:sz w:val="22"/>
                <w:szCs w:val="22"/>
                <w:color w:val="auto"/>
              </w:rPr>
            </w:pPr>
          </w:p>
        </w:tc>
        <w:tc>
          <w:tcPr>
            <w:tcW w:w="84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12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3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300" w:type="dxa"/>
            <w:vAlign w:val="bottom"/>
            <w:shd w:val="clear" w:color="auto" w:fill="EAF9E8"/>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5,327</w:t>
            </w: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(136,386)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(139,873)</w:t>
            </w: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4,182</w:t>
            </w:r>
          </w:p>
        </w:tc>
      </w:tr>
      <w:tr>
        <w:trPr>
          <w:trHeight w:val="237"/>
        </w:trPr>
        <w:tc>
          <w:tcPr>
            <w:tcW w:w="40" w:type="dxa"/>
            <w:vAlign w:val="bottom"/>
          </w:tcPr>
          <w:p>
            <w:pPr>
              <w:spacing w:after="0"/>
              <w:rPr>
                <w:sz w:val="20"/>
                <w:szCs w:val="20"/>
                <w:color w:val="auto"/>
              </w:rPr>
            </w:pPr>
          </w:p>
        </w:tc>
        <w:tc>
          <w:tcPr>
            <w:tcW w:w="35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(136,267)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(130,364)</w:t>
            </w:r>
          </w:p>
        </w:tc>
      </w:tr>
      <w:tr>
        <w:trPr>
          <w:trHeight w:val="27"/>
        </w:trPr>
        <w:tc>
          <w:tcPr>
            <w:tcW w:w="40" w:type="dxa"/>
            <w:vAlign w:val="bottom"/>
            <w:tcBorders>
              <w:bottom w:val="single" w:sz="8" w:color="EAF9E8"/>
            </w:tcBorders>
          </w:tcPr>
          <w:p>
            <w:pPr>
              <w:spacing w:after="0"/>
              <w:rPr>
                <w:sz w:val="2"/>
                <w:szCs w:val="2"/>
                <w:color w:val="auto"/>
              </w:rPr>
            </w:pPr>
          </w:p>
        </w:tc>
        <w:tc>
          <w:tcPr>
            <w:tcW w:w="266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660" w:type="dxa"/>
            <w:vAlign w:val="bottom"/>
            <w:shd w:val="clear" w:color="auto" w:fill="EAF9E8"/>
          </w:tcPr>
          <w:p>
            <w:pPr>
              <w:spacing w:after="0"/>
              <w:rPr>
                <w:sz w:val="15"/>
                <w:szCs w:val="15"/>
                <w:color w:val="auto"/>
              </w:rPr>
            </w:pPr>
          </w:p>
        </w:tc>
        <w:tc>
          <w:tcPr>
            <w:tcW w:w="840" w:type="dxa"/>
            <w:vAlign w:val="bottom"/>
            <w:shd w:val="clear" w:color="auto" w:fill="EAF9E8"/>
          </w:tcPr>
          <w:p>
            <w:pPr>
              <w:spacing w:after="0"/>
              <w:rPr>
                <w:sz w:val="15"/>
                <w:szCs w:val="15"/>
                <w:color w:val="auto"/>
              </w:rPr>
            </w:pPr>
          </w:p>
        </w:tc>
        <w:tc>
          <w:tcPr>
            <w:tcW w:w="260" w:type="dxa"/>
            <w:vAlign w:val="bottom"/>
            <w:tcBorders>
              <w:bottom w:val="single" w:sz="8" w:color="auto"/>
            </w:tcBorders>
            <w:shd w:val="clear" w:color="auto" w:fill="EAF9E8"/>
          </w:tcPr>
          <w:p>
            <w:pPr>
              <w:spacing w:after="0"/>
              <w:rPr>
                <w:sz w:val="15"/>
                <w:szCs w:val="15"/>
                <w:color w:val="auto"/>
              </w:rPr>
            </w:pPr>
          </w:p>
        </w:tc>
        <w:tc>
          <w:tcPr>
            <w:tcW w:w="1260" w:type="dxa"/>
            <w:vAlign w:val="bottom"/>
            <w:tcBorders>
              <w:bottom w:val="single" w:sz="8" w:color="auto"/>
            </w:tcBorders>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tcBorders>
              <w:bottom w:val="single" w:sz="8" w:color="auto"/>
            </w:tcBorders>
            <w:shd w:val="clear" w:color="auto" w:fill="EAF9E8"/>
          </w:tcPr>
          <w:p>
            <w:pPr>
              <w:spacing w:after="0"/>
              <w:rPr>
                <w:sz w:val="15"/>
                <w:szCs w:val="15"/>
                <w:color w:val="auto"/>
              </w:rPr>
            </w:pPr>
          </w:p>
        </w:tc>
        <w:tc>
          <w:tcPr>
            <w:tcW w:w="1220" w:type="dxa"/>
            <w:vAlign w:val="bottom"/>
            <w:tcBorders>
              <w:bottom w:val="single" w:sz="8" w:color="auto"/>
            </w:tcBorders>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tcBorders>
              <w:bottom w:val="single" w:sz="8" w:color="auto"/>
            </w:tcBorders>
            <w:shd w:val="clear" w:color="auto" w:fill="EAF9E8"/>
          </w:tcPr>
          <w:p>
            <w:pPr>
              <w:spacing w:after="0"/>
              <w:rPr>
                <w:sz w:val="15"/>
                <w:szCs w:val="15"/>
                <w:color w:val="auto"/>
              </w:rPr>
            </w:pPr>
          </w:p>
        </w:tc>
        <w:tc>
          <w:tcPr>
            <w:tcW w:w="1240" w:type="dxa"/>
            <w:vAlign w:val="bottom"/>
            <w:tcBorders>
              <w:bottom w:val="single" w:sz="8" w:color="auto"/>
            </w:tcBorders>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tcBorders>
              <w:bottom w:val="single" w:sz="8" w:color="auto"/>
            </w:tcBorders>
            <w:shd w:val="clear" w:color="auto" w:fill="EAF9E8"/>
          </w:tcPr>
          <w:p>
            <w:pPr>
              <w:spacing w:after="0"/>
              <w:rPr>
                <w:sz w:val="15"/>
                <w:szCs w:val="15"/>
                <w:color w:val="auto"/>
              </w:rPr>
            </w:pPr>
          </w:p>
        </w:tc>
        <w:tc>
          <w:tcPr>
            <w:tcW w:w="1300" w:type="dxa"/>
            <w:vAlign w:val="bottom"/>
            <w:tcBorders>
              <w:bottom w:val="single" w:sz="8" w:color="auto"/>
            </w:tcBorders>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tcBorders>
              <w:bottom w:val="single" w:sz="8" w:color="auto"/>
            </w:tcBorders>
            <w:shd w:val="clear" w:color="auto" w:fill="EAF9E8"/>
          </w:tcPr>
          <w:p>
            <w:pPr>
              <w:spacing w:after="0"/>
              <w:rPr>
                <w:sz w:val="15"/>
                <w:szCs w:val="15"/>
                <w:color w:val="auto"/>
              </w:rPr>
            </w:pPr>
          </w:p>
        </w:tc>
        <w:tc>
          <w:tcPr>
            <w:tcW w:w="1300" w:type="dxa"/>
            <w:vAlign w:val="bottom"/>
            <w:tcBorders>
              <w:bottom w:val="single" w:sz="8" w:color="auto"/>
            </w:tcBorders>
            <w:shd w:val="clear" w:color="auto" w:fill="EAF9E8"/>
          </w:tcPr>
          <w:p>
            <w:pPr>
              <w:spacing w:after="0"/>
              <w:rPr>
                <w:sz w:val="15"/>
                <w:szCs w:val="15"/>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76,623</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71,703</w:t>
            </w:r>
          </w:p>
        </w:tc>
      </w:tr>
      <w:tr>
        <w:trPr>
          <w:trHeight w:val="163"/>
        </w:trPr>
        <w:tc>
          <w:tcPr>
            <w:tcW w:w="40" w:type="dxa"/>
            <w:vAlign w:val="bottom"/>
            <w:tcBorders>
              <w:top w:val="single" w:sz="8" w:color="EAF9E8"/>
            </w:tcBorders>
            <w:shd w:val="clear" w:color="auto" w:fill="EAF9E8"/>
          </w:tcPr>
          <w:p>
            <w:pPr>
              <w:spacing w:after="0"/>
              <w:rPr>
                <w:sz w:val="14"/>
                <w:szCs w:val="14"/>
                <w:color w:val="auto"/>
              </w:rPr>
            </w:pPr>
          </w:p>
        </w:tc>
        <w:tc>
          <w:tcPr>
            <w:tcW w:w="2660" w:type="dxa"/>
            <w:vAlign w:val="bottom"/>
            <w:tcBorders>
              <w:top w:val="single" w:sz="8" w:color="EAF9E8"/>
            </w:tcBorders>
            <w:shd w:val="clear" w:color="auto" w:fill="EAF9E8"/>
          </w:tcPr>
          <w:p>
            <w:pPr>
              <w:spacing w:after="0"/>
              <w:rPr>
                <w:sz w:val="14"/>
                <w:szCs w:val="14"/>
                <w:color w:val="auto"/>
              </w:rPr>
            </w:pPr>
          </w:p>
        </w:tc>
        <w:tc>
          <w:tcPr>
            <w:tcW w:w="84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March 31,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5,733,630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2,165,742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487,402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8,386,774</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December 31, 2014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5,881,862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1,963,729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421,687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8,267,278</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March 31, 2014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6,333,097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1,326,114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527,140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8,186,351</w:t>
            </w: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692" w:right="239" w:bottom="1440" w:gutter="0" w:footer="0" w:header="0"/>
          <w:type w:val="continuous"/>
        </w:sectPr>
      </w:pPr>
    </w:p>
    <w:bookmarkStart w:id="40" w:name="page41"/>
    <w:bookmarkEnd w:id="40"/>
    <w:p>
      <w:pPr>
        <w:ind w:left="500" w:right="4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Corporate Items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6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March 31, 2015</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4,344</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38,405</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38,494</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3,423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3,755</w:t>
            </w:r>
          </w:p>
        </w:tc>
      </w:tr>
      <w:tr>
        <w:trPr>
          <w:trHeight w:val="297"/>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March 31, 2014</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5,540</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61,779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62,094</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62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shd w:val="clear" w:color="auto" w:fill="EAF9E8"/>
          </w:tcPr>
          <w:p>
            <w:pPr>
              <w:spacing w:after="0"/>
              <w:rPr>
                <w:sz w:val="21"/>
                <w:szCs w:val="21"/>
                <w:color w:val="auto"/>
              </w:rPr>
            </w:pP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1,087</w:t>
            </w:r>
          </w:p>
        </w:tc>
      </w:tr>
      <w:tr>
        <w:trPr>
          <w:trHeight w:val="27"/>
        </w:trPr>
        <w:tc>
          <w:tcPr>
            <w:tcW w:w="46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Executive Chairman of the Board of Directors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Ocwen’s former Executive Chairman, William C. Erbey, also formerly served as chairman of the boards of Altisource, HLSS, Altisource Residential Corporation (Residential) and Altisource Asset Management Corporation (AAMC). As a result, he had obligations to Ocwen as well as to Altisource, HLSS, Residential and AAMC. Effective January 16, 2015, Mr. Erbey resigned as an officer and director of Ocwen. Effective on that same date, Mr. Erbey also resigned from the boards of Altisource, HLSS, Altisource Residential and AAMC.</w:t>
      </w:r>
    </w:p>
    <w:p>
      <w:pPr>
        <w:spacing w:after="0" w:line="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Mr. Erbey’s decision to resign as a director was not due to any disagreements with Ocwen on any matter relating to its operations, policies or practices. On January 16, 2015, the Compensation Committee of the Board approved, and the Board ratified, a Retirement Agreement by and between Ocwen Financial Corporation, OMS and Mr. Erbey (the Retirement Agreement). The Compensation Committee of the Board retained an independent compensation consultant to provide advice in connection with the Retirement Agreement.</w:t>
      </w:r>
    </w:p>
    <w:p>
      <w:pPr>
        <w:spacing w:after="0" w:line="7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Retirement Agreement provides for Mr. Erbey’s separation from Ocwen and its affiliates. The Retirement Agreement contains certain provisions in favor of Ocwen such as releases in our favor and covenants regarding confidentiality, non-competition and non-solicitation of our employees, customers, vendors, suppliers, licensors, lessors, joint venturers, associates, consultants, agents and partners. The Retirement Agreement also contains certain provisions in Mr. Erbey’s favor such as retirement payment provisions, continued medical coverage for Mr. Erbey and his spouse, provisions addressing Mr. Erbey’s options and registration rights for Mr. Erbey in certain circumstances.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the commission that would otherwise be paid to Altisource as the selling broker in connection with real estate sales services provided by Altisource. A Data Access and Services Agreement under which we agreed to make available to Altisource certain data from Ocwen’s servicing portfolio in exchange for a per asset fee was terminated on March 31, 2015.</w:t>
      </w:r>
    </w:p>
    <w:p>
      <w:pPr>
        <w:spacing w:after="0" w:line="7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business is currently dependent on many of the services and products provided by Altisource under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obligations (for example, because it entered bankruptcy), our business and operations would suffer. In addition, if Altisource fails to develop and maintain its technology so as to provide us with a competitive platform, our business could suffer.</w:t>
      </w:r>
    </w:p>
    <w:p>
      <w:pPr>
        <w:spacing w:after="0" w:line="6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have also entered into Support Services Agreements with Altisource setting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Beginning April 1, 2015, the only services that will regularly be provided under these Support Services Agreements are corporate services such as facilities management and mailroom support services and vendor procurement for information technology and facilities.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HLSS</w:t>
      </w:r>
    </w:p>
    <w:p>
      <w:pPr>
        <w:spacing w:after="0" w:line="12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Prior to the sale of substantially all of its assets on April 6, 2015, HLSS acquired Rights to MSRs and related servicing advances from us and assumed the obligation to fund new servicing advances in respect of the Rights to MSRs. The servicing fees payable under the servicing agreements underlying the Rights to MSRs were apportioned between us and HLSS as provided in our agreements with HLSS. HLSS retained a fee based on the UPB of the loans serviced, and OLS received certain fees, including a performance fee based on servicing fees actually paid less an amount calculated based on the amount of servicing advances and cost of financing those advances. After the earlier of April 30, 2020 or eight years after the closing date of the initial sale of each</w:t>
      </w:r>
    </w:p>
    <w:p>
      <w:pPr>
        <w:sectPr>
          <w:pgSz w:w="11900" w:h="16838" w:orient="portrait"/>
          <w:cols w:equalWidth="0" w:num="1">
            <w:col w:w="11380"/>
          </w:cols>
          <w:pgMar w:left="240" w:top="692" w:right="279" w:bottom="0" w:gutter="0" w:footer="0" w:header="0"/>
        </w:sectPr>
      </w:pPr>
    </w:p>
    <w:bookmarkStart w:id="41" w:name="page42"/>
    <w:bookmarkEnd w:id="41"/>
    <w:p>
      <w:pPr>
        <w:ind w:right="40"/>
        <w:spacing w:after="0" w:line="259" w:lineRule="auto"/>
        <w:rPr>
          <w:sz w:val="20"/>
          <w:szCs w:val="20"/>
          <w:color w:val="auto"/>
        </w:rPr>
      </w:pPr>
      <w:r>
        <w:rPr>
          <w:rFonts w:ascii="Arial" w:cs="Arial" w:eastAsia="Arial" w:hAnsi="Arial"/>
          <w:sz w:val="18"/>
          <w:szCs w:val="18"/>
          <w:color w:val="auto"/>
        </w:rPr>
        <w:t>tranche of Rights to MSRs, the apportionment of these fees with respect to such tranche was subject to re-negotiation. On April 6, 2015, a subsidiary of NRZ entered into a transaction to acquire substantially all of the assets of HLSS, including HLSS Holdings, LLC, and Ocwen entered into a consent to this transfer and an amendment of its agreements with HLSS. Following the sale, NRZ, through its subsidiaries, is the owner of the Rights to MSRs and has assumed HLSS’ rights and obligations under all of the above referenced agreements.</w:t>
      </w:r>
    </w:p>
    <w:p>
      <w:pPr>
        <w:spacing w:after="0" w:line="79"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Beginning April 7, 2017, NRZ, as successor to HLSS, has a general right to direct us to transfer servicing of the servicing agreements underlying the Rights to MSRs that we have previously sold provided that the transfer is subject to our continued right to be paid the servicing fees and other amounts payable under our agreements. An exception to the requirement that the transfer is subject to our continued right to payment under the transferred servicing agreement exists in circumstances where a termination event (as defined in our agreements with NRZ, as successor to HLSS) occurs. In these circumstances, NRZ may direct us to use commercially reasonable efforts to transfer servicing under the affected servicing agreement and, following the transfer, we would no longer be entitled to receive future servicing fee revenue with respect to the transferred servicing agreement. Regarding NRZ’s rights upon a termination event resulting from an uncured servicer rating downgrade, NRZ has agreed to a standstill until April 7, 2017 unless they determine in good faith that a trustee intends to terminate servicing under an affected servicing agreement. In these circumstances, NRZ may direct us to use commercially reasonable efforts to transfer servicing under the affected servicing agreement and, following the transfer, we would no longer be entitled to receive future servicing fee revenue. All required third party consents would need to be obtained in connection with any servicing transfer.</w:t>
      </w:r>
    </w:p>
    <w:p>
      <w:pPr>
        <w:spacing w:after="0" w:line="6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To the extent that servicing agreements underlying Rights to MSRs are terminated as a result of a termination event, NRZ is entitled to payment of an amount equal to a percentage of the purchase price for the related Rights to MSRs.</w:t>
      </w:r>
    </w:p>
    <w:p>
      <w:pPr>
        <w:spacing w:after="0" w:line="6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Prior to the sale of substantially all of its assets to NRZ, pursuant to our agreements with HLSS, HLSS had assumed the obligation to fund new servicing advances with respect to the Rights to MSRs. We were dependent upon HLSS for financing of the servicing advance obligations for MSRs where we were the servicer. HLSS, in turn, was dependent upon its advance financing facilities in order to fund a substantial portion of the servicing advances that it was contractually obligated to make pursuant to our agreements with HLSS. As of March 31, 2015, we were the servicer on Rights to MSRs pertaining to approximately $156.3 billion in UPB and the associated outstanding servicing advances as of such date were approximately $5.8 billion.</w:t>
      </w:r>
    </w:p>
    <w:p>
      <w:pPr>
        <w:spacing w:after="0" w:line="5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HLSS’ advance funding facilities had a 364-day term and the revolving periods for a significant portion of their advance funding facilities were scheduled to end in 2015. In the event of a default, HLSS’ advance facilities revolving periods would have terminated and the facilities would have begun amortization. There were no provisions under which Ocwen would have been obligated to repay the HLSS advance facilities upon an event of default by HLSS. Instead, Ocwen, as servicer, would have been immediately responsible for all new advances. Thus, as of December 31, 2014 and through the date of the asset sale, we were subject to liquidity risk in the event that HLSS’ advance financing facilities failed to perform as envisaged or HLSS was otherwise unable to meet its advance financing obligations.</w:t>
      </w:r>
    </w:p>
    <w:p>
      <w:pPr>
        <w:spacing w:after="0" w:line="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Although we were not an obligor or guarantor under NRZ’s advance financing facilities (which have been assumed by NRZ from HLSS pursuant to the asset sale), we are a party to certain of the facility documents as the servicer of the underlying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2" w:name="page43"/>
    <w:bookmarkEnd w:id="42"/>
    <w:p>
      <w:pPr>
        <w:ind w:right="40"/>
        <w:spacing w:after="0" w:line="290" w:lineRule="auto"/>
        <w:rPr>
          <w:sz w:val="20"/>
          <w:szCs w:val="20"/>
          <w:color w:val="auto"/>
        </w:rPr>
      </w:pPr>
      <w:r>
        <w:rPr>
          <w:rFonts w:ascii="Arial" w:cs="Arial" w:eastAsia="Arial" w:hAnsi="Arial"/>
          <w:sz w:val="16"/>
          <w:szCs w:val="16"/>
          <w:color w:val="auto"/>
        </w:rPr>
        <w:t>loans on which advances are being financed. A purported owner of notes issued by one of the advance financing facilities recently asserted that events of default have occurred under the indenture governing those notes based on alleged failures by us to comply with applicable laws and regulations and the terms of the servicing agreement to which the applicable servicing advances relate. While we have vigorously defended ourselves against these allegations, we have consented to an arrangement between NRZ, as successor to HLSS, and the indenture trustee for those notes that provides for a standstill for the indenture trustee to investigate the allegations of default during which the indenture trustee will not initiate a court proceeding. If the eventual outcome of this matter were to involve an event of default being declared under this advance financing facility, NRZ may not be able to perform under its agreements with us. As a result, our liquidity, financial condition and business could be materially and adversely affected. In addition, it is possible that NRZ might seek to take actions against us alleging that we bear responsibility for such outcomes, which could also materially and adversely affect us.</w:t>
      </w:r>
    </w:p>
    <w:p>
      <w:pPr>
        <w:spacing w:after="0" w:line="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supplements pertaining to NRZ’s variable funding notes under this advance financing facility have been amended to extend the revolving periods and increase the aggregate commitments thereunder and to clarify, among other things, that the variable noteholders will not consider a violation of law or relevant servicing agreements to constitute an event of default with respect to those notes unless they result in a material adverse effect on the collectability, timing of collection or value of the advance receivables. The amendments also provide that the variable noteholders will not consider the allegations made by the purported owner of the notes to constitute a violation of funding conditions, and have agreed to continue to fund draws on the facility including, if necessary, to refinance the outstanding term notes under the facility. In addition, if the outstanding term notes are refinanced the variable noteholders have agreed that they shall not consider the allegations made by the purported owner of the notes to constitute an event of default.</w:t>
      </w:r>
    </w:p>
    <w:p>
      <w:pPr>
        <w:spacing w:after="0" w:line="59"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Ocwen and HLSS were parties to a Professional Services Agreement under which they provided each other certain professional services including valuation analysis of potential MSR acquisitions, treasury management services and other similar services, licensing and regulatory compliance support services and risk management services. No services are currently provided under this agreement.</w:t>
      </w:r>
    </w:p>
    <w:p>
      <w:pPr>
        <w:spacing w:after="0" w:line="7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March 3, 2014, in the first Ginnie Mae EBO Transaction, Ocwen sold Ginnie Mae EBO Loans and transferred the related servicing advances to HLSS Mortgage for $612.3 million. On May 2, 2014, in connection with the second Ginnie Mae EBO Transaction, we transferred $20.2 million of advances to HLSS SEZ LP. At March 31, 2015, Ocwen serviced EBO Loans with a UPB of approximately $425.7 million for HLSS.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Residential</w:t>
      </w:r>
    </w:p>
    <w:p>
      <w:pPr>
        <w:spacing w:after="0" w:line="121"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On December 21, 2012, we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 At March 31, 2015, we serviced loans with a UPB of approximately $3.2 billion under this agreement.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AAMC</w:t>
      </w:r>
    </w:p>
    <w:p>
      <w:pPr>
        <w:spacing w:after="0" w:line="12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On December 31, 2013, we entered into a support services agreement with AAMC pursuant to which we will provide business development, analytical and consulting and administrative services to AAMC. The support services agreement may be terminated by either party with a month’s prior notice.</w:t>
      </w:r>
    </w:p>
    <w:p>
      <w:pPr>
        <w:spacing w:after="0" w:line="1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As a result of Mr. Erbey’s position as our Executive Chairman and as chairman of each of Altisource, HLSS, Residential and AAMC during the first sixteen days of the first quarter of 2015, combined with his share ownership during that period, we have reported transactions with these companies during the first quarter of 2015 as related party transactions. Following his retirement, effective as of January 16, 2015, Mr. Erbey has no directorial, management, oversight, consulting or any other role at Ocwen and we are expressly prohibited from providing any non-public information about Ocwen to Mr. Erbey pursuant to our settlement with the NY DFS.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3" w:name="page44"/>
    <w:bookmarkEnd w:id="43"/>
    <w:p>
      <w:pPr>
        <w:ind w:right="140" w:firstLine="324"/>
        <w:spacing w:after="0" w:line="342" w:lineRule="auto"/>
        <w:rPr>
          <w:sz w:val="20"/>
          <w:szCs w:val="20"/>
          <w:color w:val="auto"/>
        </w:rPr>
      </w:pPr>
      <w:r>
        <w:rPr>
          <w:rFonts w:ascii="Arial" w:cs="Arial" w:eastAsia="Arial" w:hAnsi="Arial"/>
          <w:sz w:val="16"/>
          <w:szCs w:val="16"/>
          <w:color w:val="auto"/>
        </w:rPr>
        <w:t>The following table summarizes revenues and expenses related to our agreements with Altisource, HLSS (prior to the sale of its assets to NRZ), AAMC and Residential (and, as applicable, their subsidiaries) for the three months ended March 31 and net amounts receivable or payable at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Revenues and Expenses: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Altisource: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13,404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8,499</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17,364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HLSS: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AAMC</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Residential</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40" w:type="dxa"/>
            <w:vAlign w:val="bottom"/>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EAF9E8"/>
          </w:tcPr>
          <w:p>
            <w:pPr>
              <w:spacing w:after="0"/>
              <w:rPr>
                <w:sz w:val="21"/>
                <w:szCs w:val="21"/>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2,148</w:t>
            </w:r>
          </w:p>
        </w:tc>
      </w:tr>
      <w:tr>
        <w:trPr>
          <w:trHeight w:val="27"/>
        </w:trPr>
        <w:tc>
          <w:tcPr>
            <w:tcW w:w="834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Net Receivable (Payable)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Altisource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(4,909)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HLSS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(89,678)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7,884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AAMC</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3,307</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Regulatory Requirements</w:t>
      </w:r>
    </w:p>
    <w:p>
      <w:pPr>
        <w:spacing w:after="0" w:line="12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Consumer Financial Protection Bureau (CFPB), HUD, the SEC and various state agencies that license, audit and conduct examinations of our mortgage servicing, origination and collection activities. In addition, we operate under a number of regulatory settlements that subject us to ongoing monitoring or reporting. From time to time, we also receive requests from federal, state and local agencies for records, documents and information relating to the policies, procedures and practices of our mortgage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5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or (vii) inability to execute on our business strategy.</w:t>
      </w:r>
    </w:p>
    <w:p>
      <w:pPr>
        <w:spacing w:after="0" w:line="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must comply with a large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the Equal Credit Opportunity Act, the Dodd-Frank Wall Street Reform and Consumer Protection Act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4" w:name="page45"/>
    <w:bookmarkEnd w:id="44"/>
    <w:p>
      <w:pPr>
        <w:ind w:right="120"/>
        <w:spacing w:after="0" w:line="277" w:lineRule="auto"/>
        <w:rPr>
          <w:sz w:val="20"/>
          <w:szCs w:val="20"/>
          <w:color w:val="auto"/>
        </w:rPr>
      </w:pPr>
      <w:r>
        <w:rPr>
          <w:rFonts w:ascii="Arial" w:cs="Arial" w:eastAsia="Arial" w:hAnsi="Arial"/>
          <w:sz w:val="18"/>
          <w:szCs w:val="18"/>
          <w:color w:val="auto"/>
        </w:rPr>
        <w:t>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6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CFPB directly affects the regulation of residential mortgage servicing in a number of ways. First, the CFPB has rule making authority with respect to many of the federal consumer protection laws applicable to mortgage servicers, including TILA and RESPA, as reflected in the new rules for servicing and origination that went into effect in 2014.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w:t>
      </w:r>
    </w:p>
    <w:p>
      <w:pPr>
        <w:spacing w:after="0" w:line="178"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expect to continue to invest significantly in our operational platform and risk and compliance management systems in order to comply with these laws and regulations. Furthermore, there may be additional federal or state laws enacted that place additional obligations on servicers and originators of residential mortgage loans.</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OLS, Homeward and Liberty subsidiaries are licensed to originate and/or service forward and reverse mortgage loans in the jurisdictions in which they operate. Our licensed entities are required to renew their licenses, typically on an annual basis, and to do so they must satisfy the license renewal requirements of each jurisdiction, which in some cases include the requirement to provide audited financial statements as well as other financial and non-financial requirements. Our licensed entities are also subject to minimum net worth requirements in connection with these licenses. These minimum net worth requirements are unique to each state and type of license. Failure to meet these minimum capital requirements or to satisfy any of the other requirements to which our licensed subsidiaries are subject could result in a variety of regulatory actions ranging from a fine, a directive requiring a certain step to be taken, a suspension or ultimately a revocation of a license, any of which could have an adverse impact on our results of operations and financial condition. The most restrictive of these requirements is based on the outstanding UPB of our owned and subserviced portfolio and was $789.6 million at March 31, 2015. We believe our licensed subsidiaries are currently in compliance with all of their capital requirements.</w:t>
      </w:r>
    </w:p>
    <w:p>
      <w:pPr>
        <w:spacing w:after="0" w:line="7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OLS, Homeward and Liberty are also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counterparties has communicated any material sanction, suspension or prohibition in connection with our seller/servicer obligations. We believe we were in compliance with the related net worth requirements at March 31, 2015. Our non-Agency servicing agreements also contain requirements regarding servicing practices and other matters, and a failure to comply with these requirements could have an adverse impact on our business.</w:t>
      </w:r>
    </w:p>
    <w:p>
      <w:pPr>
        <w:spacing w:after="0" w:line="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Transfers of mortgage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will be required to devote time and resources to ensuring compliance and engaging with such regulators in connection with any future transfers of mortgage servicing, including in connection with our announced asset sales.</w:t>
      </w:r>
    </w:p>
    <w:p>
      <w:pPr>
        <w:spacing w:after="0" w:line="18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There are a number of foreign laws and regulations that are applicable to our operations in India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have originated floating-rate reverse mortgage loans under which the borrowers have additional borrowing capacity of $685.0 million at March 31, 2015. This additional borrowing capacity is available on a scheduled or unscheduled payment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92" w:right="259" w:bottom="1440" w:gutter="0" w:footer="0" w:header="0"/>
        </w:sectPr>
      </w:pPr>
    </w:p>
    <w:bookmarkStart w:id="45" w:name="page46"/>
    <w:bookmarkEnd w:id="45"/>
    <w:p>
      <w:pPr>
        <w:ind w:right="900"/>
        <w:spacing w:after="0" w:line="277" w:lineRule="auto"/>
        <w:rPr>
          <w:sz w:val="20"/>
          <w:szCs w:val="20"/>
          <w:color w:val="auto"/>
        </w:rPr>
      </w:pPr>
      <w:r>
        <w:rPr>
          <w:rFonts w:ascii="Arial" w:cs="Arial" w:eastAsia="Arial" w:hAnsi="Arial"/>
          <w:sz w:val="18"/>
          <w:szCs w:val="18"/>
          <w:color w:val="auto"/>
        </w:rPr>
        <w:t>basis. We also had short-term commitments to lend $412.2 million and $12.8 million in connection with our forward and reverse interest rate lock commitments outstanding at March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Contingencies</w:t>
      </w:r>
    </w:p>
    <w:p>
      <w:pPr>
        <w:spacing w:after="0" w:line="1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 Where we have retained external legal counsel or other professional advisors, such advisors assist us in making such assessments.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the ordinary course of business, we are routinely a defendant in, or a party or potential party to, many threatened and pending legal proceedings, including proceedings brought on behalf of various classes of claimants and those brought derivatively on behalf of Ocwen against certain current or former officers and directors.</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and claims related to our payment and other processing operations. In some of these proceedings, claims for substantial monetary damages are asserted against us. To address the claims in the small number of proceedings brought derivatively by purported shareholders, the independent directors of the Board have established a Special Litigation Committee to investigate the shareholders’ allegations. In our opinion, the resolution of the vast majority of these proceedings will not have a material effect on our financial condition, results of operations or cash flows.</w:t>
      </w:r>
    </w:p>
    <w:p>
      <w:pPr>
        <w:spacing w:after="0" w:line="81"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w:t>
      </w:r>
    </w:p>
    <w:p>
      <w:pPr>
        <w:spacing w:after="0" w:line="3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Where we determine that a loss contingency is probable in connection with a pending or threatened legal proceeding and the amount of our losses can be reasonably estimated, we record an accrual for the losses. Excluding expenses of internal or external legal counsel, we have accrued $16.0 million as of March 31, 2015 for losses relating to threatened and pending litigation pertaining to our mortgage servicing practices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pertaining to our mortgage servicing practices that materially exceed the amount accrued. We cannot currently estimate the amount, if any, of reasonably possible losses above amounts that have been recorded at March 31, 2015.</w:t>
      </w:r>
    </w:p>
    <w:p>
      <w:pPr>
        <w:spacing w:after="0" w:line="8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Following our announcement on August 12, 2014 that we intended to restate our financial statements for the fiscal year ended December 31, 2013 and the quarter ended March 31, 2014, and amend our Annual Report on Form 10-K for the fiscal year ended December 31, 2013 and our Quarterly Report on Form 10-Q for the quarter ended March 31, 2014, putative securities fraud class action lawsuits have been filed against Ocwen and certain of its officers and directors regarding such restatements and amendments. Those lawsuits have been consolidated and are pending in federal court in Florida. After Ocwen signed a Consent Order with the NYDFS on December 22, 2014, the consolidated class action complaint was amended to include allegations relating to that Consent Order and other matters. In January 2015, Ocwen was named as a defendant in a separate consolidated securities fraud class action that has been brought on behalf of a putative class of Altisource Portfolio Solutions, S.A. shareholders. Ocwen and the other defendants intend to vigorously defend against these lawsuits. Additional lawsuits may be filed and, at this time, Ocwen is unable to predict the outcome of these lawsuits, the possible loss or range of loss, if any, associated with the resolution of these lawsuits or any potential impact they may have on us or our operations. If our efforts to defend these lawsuits are not successful, our business, financial condition and results of operations could be adversely affected.</w:t>
      </w:r>
    </w:p>
    <w:p>
      <w:pPr>
        <w:spacing w:after="0" w:line="6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several recent court actions, mortgage loan sellers against whom repurchase claims have been asserted based on alleged breaches of representations and warranties are defending on various grounds including the expiration of statutes of limitation,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6" w:name="page47"/>
    <w:bookmarkEnd w:id="46"/>
    <w:p>
      <w:pPr>
        <w:ind w:right="180"/>
        <w:spacing w:after="0" w:line="257" w:lineRule="auto"/>
        <w:rPr>
          <w:sz w:val="20"/>
          <w:szCs w:val="20"/>
          <w:color w:val="auto"/>
        </w:rPr>
      </w:pPr>
      <w:r>
        <w:rPr>
          <w:rFonts w:ascii="Arial" w:cs="Arial" w:eastAsia="Arial" w:hAnsi="Arial"/>
          <w:sz w:val="18"/>
          <w:szCs w:val="18"/>
          <w:color w:val="auto"/>
        </w:rPr>
        <w:t>lack of notice and opportunity to cure, and vitiation of the obligation to repurchase as a result of foreclosure or charge-off of the loan. We have entered into tolling agreements with respect to our role as servicer for a very small number of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Ocwen is a third-party defendant in one of these actions, is the servicer for certain securitizations involved in other such actions and is the servicer for other securitizations as to which actions have been threatened by certificate holders. We intend to vigorously defend ourselves in the lawsuit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We believe that any such allegations would be without merit and, if necessary, would vigorously defend against them.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financial condition and results of operations could be adversely affected.</w:t>
      </w:r>
    </w:p>
    <w:p>
      <w:pPr>
        <w:spacing w:after="0" w:line="18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a number of RMBS trustees have received notices of default alleging material failures by servicers to comply with applicable servicing agreements. For example,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vigorously rebut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a number of ongoing federal and state regulatory examinations, inquiries, requests for information and other actions.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Effective December 19, 2014, Ocwen reached a settlement with the NY DFS related to these matters and entered into a consent order (the NY Consent Order) with the NY DFS to reflect such settlement. The settlement included monetary and non-monetary provisions including the payment of a civil monetary penalty of $100.0 million and restitution in the amount of $50.0 million to certain New York borrowers. Non-monetary provisions include: the appointment of an independent Operations Monitor who will among other responsibilities, review and assess the adequacy and effectiveness of our operations, including providing periodic reporting on findings and progress, and review transactions with ASPS, HLSS, AAMC and RESI (NYDFS Related Companies); the appointment of two additional independent directors to the Board of Directors; the resignation of William C. Erbey as an officer and director, as of January 16, 2015, as well as from the boards of the NYDFS Related Companies; and restrictions on the ability and/or timing of any future MSR acquisitions which effectively prohibit any such future acquisitions until we have satisfied certain specified conditions.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Mortgage Settlement</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February 2014, the Ocwen National Mortgage Settlement involving the CFPB and various state attorneys general and other state agencies that regulate the mortgage servicing industry (NMS Regulators) was memorialized by a consent order entered by the United States District Court for the District of Columbia.</w:t>
      </w:r>
    </w:p>
    <w:p>
      <w:pPr>
        <w:spacing w:after="0" w:line="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tested on a quarterly basis on various metrics to ensure compliance with the Ocwen National Mortgage Settlement. These metrics relate to various aspects of our servicing business, and each has a proscribed error threshold. These metrics are tested by a dedicated group of Ocwen employees who do not report to the servicing business and are referred to as the Internal Review Group (IRG). The IRG tests these metrics, and reports their findings to the professional firms employed by the Office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7" w:name="page48"/>
    <w:bookmarkEnd w:id="47"/>
    <w:p>
      <w:pPr>
        <w:ind w:right="580"/>
        <w:spacing w:after="0" w:line="277" w:lineRule="auto"/>
        <w:rPr>
          <w:sz w:val="20"/>
          <w:szCs w:val="20"/>
          <w:color w:val="auto"/>
        </w:rPr>
      </w:pPr>
      <w:r>
        <w:rPr>
          <w:rFonts w:ascii="Arial" w:cs="Arial" w:eastAsia="Arial" w:hAnsi="Arial"/>
          <w:sz w:val="18"/>
          <w:szCs w:val="18"/>
          <w:color w:val="auto"/>
        </w:rPr>
        <w:t>of Mortgage Settlement Oversight (OMSO). OMSO has ultimate authority to accept or reject the IRG’s findings, and OMSO reports its findings to the District Court.</w:t>
      </w:r>
    </w:p>
    <w:p>
      <w:pPr>
        <w:spacing w:after="0" w:line="62"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Exceeding the metric error rate threshold for the first time does not result in a violation of the settlement, but rather it is deemed a “potential violation” which then is subject to a cure period. Any potential violation requires us to submit a corrective action plan (CAP) to OMSO for approval and review, and all testing for that metric is suspended until the CAP is completed. Following the completion of the CAP, testing on that metric resumes by the IRG and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It is also possible that if we are found to have caused borrower harm, we would be subject to costs to remediate that harm. In addition, in the event that there were widespread metric failures, it is possible that OMSO and/or the District Court could determine that we were generally violating the settlement and seek to impose a broader range of financial or injunctive penalties on us.</w:t>
      </w:r>
    </w:p>
    <w:p>
      <w:pPr>
        <w:spacing w:after="0" w:line="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2014, OMSO identified two issues involving Ocwen’s compliance with the Ocwen National Mortgage Settlement. The first concerned the adequacy and independence of our IRG, which is responsible for reporting on Ocwen’s compliance with the settlement. The second issue concerned the letter dating issues raised by the NY DFS. OMSO’s report identified the steps that Ocwen had taken to remediate these issues, and acknowledged Ocwen’s cooperation.</w:t>
      </w:r>
    </w:p>
    <w:p>
      <w:pPr>
        <w:spacing w:after="0" w:line="7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May 2015, OMSO issued another compliance report following up on that of December 2014. This report detailed additional changes that Ocwen had made to its IRG and described the work performed by OMSO to retest certain metrics previously tested by the Ocwen IRG for the first quarter of 2014. OMSO’s report indicated that the various steps taken by Ocwen in connection with its IRG demonstrated “measurable improvement” since the December 2014 report. OMSO further reported that its retesting of metrics for the first quarter of 2014 revealed that it only disagreed with the Ocwen IRG’s assessment for one out of the nine metrics subject to retesting. Ocwen has not objected to the determination on that one metric and will develop a corrective action plan for that potential violation.</w:t>
      </w:r>
    </w:p>
    <w:p>
      <w:pPr>
        <w:spacing w:after="0" w:line="85"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continue to work cooperatively with OMSO on resolving these issues, and the letter dating issues are currently under a CAP. While, to date, these issues have not resulted in financial penalties, if we do not comply with the Ocwen National Mortgage Settlement, we could become subject to financial penalties or other regulatory action could be taken against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2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On April 28, 2014, we received a letter from the staff of the New York Regional Office of the SEC (the Staff) informing us that it was conducting an investigation relating to Ocwen and making a request for voluntary production of documents and information relating to the April 22, 2014 surrender of certain options to purchase our common stock by Mr. Erbey, our former Executive Chairman, including the 2007 Equity Incentive Plan and the related option grant and surrender documents. On June 12, 2014, we received a subpoena from the SEC requesting production of various documents relating to our business dealings with Altisource, HLSS, AAMC and Residential and the interests of our directors and executive officers in these companies. Following the announcement on August 12, 2014 that we intended to amend our Annual Report on Form 10-K for the fiscal year ended December 31, 2013 and our Quarterly Report on Form 10-Q for the quarter ended March 31, 2014, we received an additional subpoena on September 11, 2014 in relation to such amendments. In addition, we received a further subpoena on November 20, 2014 requesting certain documents related to Ocwen’s agreement with Southwest Business Corporation, and related to Mr. Erbey’s approvals for specifically enumerated board actions. On February 10, 2015, we received a letter from the Staff informing us that it was conducting an investigation relating to mortgage loan servicer use of collection agents, and it made a request for the voluntary production of documents and information. We believe that the February 10, 2015 letter was also sent to other companies in the industry. We are cooperating with the Staff on these matters.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Effective January 23, 2015, OLS reached an agreement with the CA DBO relating to Ocwen’s failure to produce certain information and documents during a routine licensing examination, which resulted in the CA DBO withdrawing its notice of hearing to suspend OLS’ license in California. OLS and the CA DBO entered into a Consent Order pursuant to the California Residential Mortgage Lending Act (the CA Consent Order) with the CA DBO to reflect such settlement. The CA Consent Order addresses and resolves the examination disputes between the CA DBO and OLS, and does not involve any accusation or admission of wrongdoing with regard to OLS’ servicing practices.</w:t>
      </w:r>
    </w:p>
    <w:p>
      <w:pPr>
        <w:spacing w:after="0" w:line="80"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Under the terms of the CA Consent Order, OLS paid the CA DBO a penalty of $2.5 million plus costs associated with the examination. We accrued the $2.5 million penalty as of December 31, 2014. OLS also agreed to cease acquiring any additional MSRs for loans secured in California until the CA DBO is satisfied that OLS can satisfactorily respond to the requests for information and documentation made in the course of a regulatory exam.</w:t>
      </w:r>
    </w:p>
    <w:p>
      <w:pPr>
        <w:spacing w:after="0" w:line="3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addition, the CA DBO will select an independent third-party auditor (the CA Auditor) to assess OLS’ compliance with laws and regulations impacting California borrowers for an initial term of two years, extendable at the discretion of the CA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8" w:name="page49"/>
    <w:bookmarkEnd w:id="48"/>
    <w:p>
      <w:pPr>
        <w:ind w:right="100"/>
        <w:spacing w:after="0" w:line="308" w:lineRule="auto"/>
        <w:rPr>
          <w:sz w:val="20"/>
          <w:szCs w:val="20"/>
          <w:color w:val="auto"/>
        </w:rPr>
      </w:pPr>
      <w:r>
        <w:rPr>
          <w:rFonts w:ascii="Arial" w:cs="Arial" w:eastAsia="Arial" w:hAnsi="Arial"/>
          <w:sz w:val="17"/>
          <w:szCs w:val="17"/>
          <w:color w:val="auto"/>
        </w:rPr>
        <w:t>DBO. OLS will pay all reasonable and necessary costs of the CA Auditor. The CA Auditor will report periodically on its findings and progress and OLS will submit to the CA DBO a written plan to address and implement corrective measures and address any deficiencies identified by the CA Auditor.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In addition to the above matters, our mortgage origination and servicing businesses require one or more licenses in the various jurisdictions where properties secured by mortgages are located. Our licensed entities are required to renew their licenses, typically on an annual basis, and to do so they must satisfy the license renewal requirements of each jurisdiction, which in some cases include the requirement to provide audited financial statements. The same agencies that issue licenses to us engage in regular supervisory examinations of the licensable activities. As of April 24, 2015, we were aware of 25 pending examinations in 19 states. In addition, we are subject to supervision by the CFPB at the federal level, and it similarly has the authority to conduct regulatory examinations, in addition to its enforcement and investigatory powers. These examinations are part of our ordinary course business activities, and the mere existence of an examination is not typically indicative of anything unusual or material as to that business. In addition, we also receive information requests and other inquiries, both formal and informal in nature, from these agencies as part of their general regulatory oversight of our origination and servicing businesses.</w:t>
      </w:r>
    </w:p>
    <w:p>
      <w:pPr>
        <w:spacing w:after="0" w:line="74"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also have regular engagements with not only our state financial regulators, but also the attorneys general in the various states and the CFPB to address individual borrower complaints that they bring to our attention, or to respond to information requests and other inquiries. Many of these matters are brought to our attention as a complaint that the entity is investigating, although some are formal investigations or proceedings.</w:t>
      </w:r>
    </w:p>
    <w:p>
      <w:pPr>
        <w:spacing w:after="0" w:line="57" w:lineRule="exact"/>
        <w:rPr>
          <w:sz w:val="20"/>
          <w:szCs w:val="20"/>
          <w:color w:val="auto"/>
        </w:rPr>
      </w:pPr>
    </w:p>
    <w:p>
      <w:pPr>
        <w:ind w:right="140" w:firstLine="324"/>
        <w:spacing w:after="0" w:line="285" w:lineRule="auto"/>
        <w:rPr>
          <w:sz w:val="20"/>
          <w:szCs w:val="20"/>
          <w:color w:val="auto"/>
        </w:rPr>
      </w:pPr>
      <w:r>
        <w:rPr>
          <w:rFonts w:ascii="Arial" w:cs="Arial" w:eastAsia="Arial" w:hAnsi="Arial"/>
          <w:sz w:val="16"/>
          <w:szCs w:val="16"/>
          <w:color w:val="auto"/>
        </w:rPr>
        <w:t>To the extent that an examination or other regulatory engagement reveals a failure by us to comply with applicable law, regulation or licensing requirement, or if we fail to comply with the commitments we have made with respect to the foregoing regulatory actions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w:t>
      </w:r>
    </w:p>
    <w:p>
      <w:pPr>
        <w:spacing w:after="0" w:line="2" w:lineRule="exact"/>
        <w:rPr>
          <w:sz w:val="20"/>
          <w:szCs w:val="20"/>
          <w:color w:val="auto"/>
        </w:rPr>
      </w:pPr>
    </w:p>
    <w:p>
      <w:pPr>
        <w:ind w:right="500" w:firstLine="8"/>
        <w:spacing w:after="0" w:line="290" w:lineRule="auto"/>
        <w:tabs>
          <w:tab w:leader="none" w:pos="3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exposure to origination representation, warranty and indemnification obligations because of our lending, sales and securitization activities and our acquisitions to the extent we assume one or more of these obligations and in connection with our servicing practices. At March 31, 2015 and 2014, we had provided or assumed representation and warranty obligations in connection with $77.5 billion and $87.9 billion of UPB</w:t>
      </w:r>
      <w:r>
        <w:rPr>
          <w:rFonts w:ascii="Arial" w:cs="Arial" w:eastAsia="Arial" w:hAnsi="Arial"/>
          <w:sz w:val="17"/>
          <w:szCs w:val="17"/>
          <w:b w:val="1"/>
          <w:bCs w:val="1"/>
          <w:color w:val="auto"/>
        </w:rPr>
        <w:t>,</w:t>
      </w:r>
      <w:r>
        <w:rPr>
          <w:rFonts w:ascii="Arial" w:cs="Arial" w:eastAsia="Arial" w:hAnsi="Arial"/>
          <w:sz w:val="17"/>
          <w:szCs w:val="17"/>
          <w:color w:val="auto"/>
        </w:rPr>
        <w:t xml:space="preserve"> respectively, covering both forward and reverse mortgage loans. At March 31, 2015, we had outstanding representation and warranty repurchase demands of $134.6 million UPB (696 loans). At March 31, 2014, the outstanding UPB of representation and warranty repurchase demands was $138.7 million (701 loans). We review each demand and monitor through resolution, primarily through rescission, loan repurchase or make-whole payment.</w:t>
      </w:r>
    </w:p>
    <w:p>
      <w:pPr>
        <w:spacing w:after="0" w:line="7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representation and warranty obligations, compensatory fees for foreclosures that may ultimately exceed investor timelines and related indemnification obligations for the three months ended March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7,266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Obligations assumed in connection with MSR and servicing business acquisitions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Charge-offs and other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(9,989)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(30,929)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119,182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169,235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principal and interest losses realized in connection with repurchased loans, make-whole, indemnification and fee payments and settlements net of recoveries, if any.</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March 31, 2015</w:t>
      </w:r>
      <w:r>
        <w:rPr>
          <w:rFonts w:ascii="Arial" w:cs="Arial" w:eastAsia="Arial" w:hAnsi="Arial"/>
          <w:sz w:val="16"/>
          <w:szCs w:val="16"/>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9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Note 21 – Subsequent Events</w:t>
      </w:r>
    </w:p>
    <w:p>
      <w:pPr>
        <w:spacing w:after="0" w:line="12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On April 6, 2015, OLS entered into Amendment No. 2 to Master Servicing Rights Purchase Agreement and Sale Supplements (the Amendment) with HLSS Holdings, LLC (Holdings), HLSS and MSR-EBO Acquisition LLC, a wholly-owned subsidiary of NRZ (Buyer), which Amendment became effective upon the consummation and closing of the purchase by the Buyer, directly and through HLSS Advances Acquisition Corp., of substantially all of the assets of HLSS. The Amendment revised terms of (i) the Master Servicing Rights Purchase Agreement, dated as of October 1, 2012, as amended by Amendment No. 1 to Master Servicing Rights Purchase Agreement and Sale Supplements, dated as of December 26, 2012 (as so amended, the MSR Purchase Agreement) and</w:t>
      </w:r>
    </w:p>
    <w:p>
      <w:pPr>
        <w:spacing w:after="0" w:line="2" w:lineRule="exact"/>
        <w:rPr>
          <w:sz w:val="20"/>
          <w:szCs w:val="20"/>
          <w:color w:val="auto"/>
        </w:rPr>
      </w:pPr>
    </w:p>
    <w:p>
      <w:pPr>
        <w:ind w:right="60" w:firstLine="8"/>
        <w:spacing w:after="0" w:line="277" w:lineRule="auto"/>
        <w:tabs>
          <w:tab w:leader="none" w:pos="26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sale supplements to the MSR Purchase Agreement (as heretofore amended, supplemented and modified from time to time, the Sale Supplements and, together with the MSR Purchase Agreement, the Original Agreements). In consideration of OLS’ consent to the assignment by HLSS to the Buyer of all HLSS’ right, title and interest in, to and under the Original Agreements, the Amendment, among other things:</w:t>
      </w:r>
    </w:p>
    <w:p>
      <w:pPr>
        <w:spacing w:after="0" w:line="65" w:lineRule="exact"/>
        <w:rPr>
          <w:rFonts w:ascii="Arial" w:cs="Arial" w:eastAsia="Arial" w:hAnsi="Arial"/>
          <w:sz w:val="17"/>
          <w:szCs w:val="17"/>
          <w:color w:val="auto"/>
        </w:rPr>
      </w:pPr>
    </w:p>
    <w:p>
      <w:pPr>
        <w:ind w:left="660" w:right="40" w:hanging="328"/>
        <w:spacing w:after="0" w:line="25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extended the term during which OLS is, subject to the provisions of the amended Original Agreements, entitled to be the servicer on loans for which Rights to MSRs have been sold to NRZ (along with the associated economic benefits) for two additional years or until April 30, 2020, whichever is earlier, which would depend on the sale date for the applicable Rights to MSRs (existing terms ranged from February 2018 through October 2019 prior to the Amendment);</w:t>
      </w:r>
    </w:p>
    <w:p>
      <w:pPr>
        <w:spacing w:after="0" w:line="2" w:lineRule="exact"/>
        <w:rPr>
          <w:rFonts w:ascii="Arial" w:cs="Arial" w:eastAsia="Arial" w:hAnsi="Arial"/>
          <w:sz w:val="18"/>
          <w:szCs w:val="18"/>
          <w:color w:val="auto"/>
        </w:rPr>
      </w:pPr>
    </w:p>
    <w:p>
      <w:pPr>
        <w:ind w:left="660" w:right="80" w:hanging="328"/>
        <w:spacing w:after="0" w:line="250"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provided that such extension will not apply with respect to any servicing agreement that, as of the date that it was scheduled to terminate under the Original Agreements, is affected by an uncured Termination Event (as defined in the Sale Supplements) due to a downgrade of OLS’ servicer rating to “Below Average” or lower by S&amp;P or to “SQ4” or lower by Moody’s;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provided that the parties will commence negotiating in good faith for an extension of the contract term and the servicing fees payable to OLS no later than six months prior to the end of the applicable term as extended pursuant to the Amendment; and</w:t>
      </w:r>
    </w:p>
    <w:p>
      <w:pPr>
        <w:ind w:left="660" w:hanging="328"/>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imposed a two-year standstill (until April 6, 2017 and subject to certain conditions) on the rights of NRZ to replace OLS as servicer.</w:t>
      </w:r>
    </w:p>
    <w:p>
      <w:pPr>
        <w:spacing w:after="0" w:line="10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Amendment also provides that OLS will sell to NRZ, on an exclusive and “as is” basis, all economic beneficial rights to the clean-up call rights OLS is entitled to pursuant to servicing agreements that underlie Rights to MSRs owned by NRZ, for a payment upon exercise of 0.50% of the UPB of all performing mortgage loans (mortgage loans that are current or 30 days or less delinquent) associated with the applicable clean up-call.</w:t>
      </w:r>
    </w:p>
    <w:p>
      <w:pPr>
        <w:spacing w:after="0" w:line="5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event there is a future downgrade of OLS’ S&amp;P servicer rating below its current rating of "Average," OLS has also agreed to compensate NRZ for certain increased costs associated with its servicing advance financing facilities, including increased costs of funding, to the extent such costs are the direct result of such downgrade. The Amendment provides that any such compensation, if required, shall not exceed $3.0 million for any calendar month or $36.0 million in the aggregate. In such an event, NRZ has agreed to use commercially reasonable efforts to assist OLS in curing any potential cost increases by obtaining amendments to the relevant financing agreements.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April 17, 2015, we entered into an amendment to the SSTL facility agreement. Effective as of April 20, 2015, the amendment, among other things:</w:t>
      </w:r>
    </w:p>
    <w:p>
      <w:pPr>
        <w:spacing w:after="0" w:line="140" w:lineRule="exact"/>
        <w:rPr>
          <w:sz w:val="20"/>
          <w:szCs w:val="20"/>
          <w:color w:val="auto"/>
        </w:rPr>
      </w:pPr>
    </w:p>
    <w:p>
      <w:pPr>
        <w:ind w:left="660" w:right="360" w:hanging="328"/>
        <w:spacing w:after="0" w:line="25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removed, with respect to the 2014 fiscal year, the requirement that our financial statements and the related audit report must be unqualified as to going concern;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extended the required time period for delivery of the 2014 audited financial statements to May 29, 2015.</w:t>
      </w:r>
    </w:p>
    <w:p>
      <w:pPr>
        <w:spacing w:after="0" w:line="10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April 30, 2015, we announced agreements with Fannie Mae and Freddie Mac to sell portfolios of non-performing loan servicing. We expect these transactions to close over the coming months, with the first transfer on May 1, 2015. These transactions will include payments to the GSEs to assume the delinquent servicing and may, in some cases, include settlements of certain indemnification obligations. We expect these transactions to be cash flow positive as we will be reimbursed for outstanding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96" w:right="259" w:bottom="1440" w:gutter="0" w:footer="0" w:header="0"/>
        </w:sectPr>
      </w:pPr>
    </w:p>
    <w:bookmarkStart w:id="50" w:name="page51"/>
    <w:bookmarkEnd w:id="50"/>
    <w:p>
      <w:pPr>
        <w:spacing w:after="0" w:line="96" w:lineRule="exact"/>
        <w:rPr>
          <w:sz w:val="20"/>
          <w:szCs w:val="20"/>
          <w:color w:val="auto"/>
        </w:rPr>
      </w:pPr>
    </w:p>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5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Forward-looking statements involve a number of assumptions, risks and uncertainties that could cause actual results to differ materially from those suggested by such statements. You should not place undue reliance on any forward-looking statement, and you should consider all uncertainties and risks discussed or referenced in this report, including those under “Forward-Looking Statements” and Item 1A, Risk Factors, as well as those discussed under Part I to our Annual Report on Form 10-K for the year ended December 31, 2014 or in any subsequent SEC filings.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Ocwen is a leader in the servicing industry in foreclosure prevention and loss mitigation that helps families stay in their homes and improves financial outcomes for investors. Our leadership in the industry is evidenced by our high cure rate for delinquent loans and above average rate of continuing performance by borrowers whose loans we have modified. Ocwen has completed over 584,000 loan modifications since January 2008. We are also an innovator in the industry, as evidenced by our SAM program, which incorporates principal reductions and lower payments for borrowers while providing a net present value for mortgage loan investors that is superior to that of foreclosure, including the ability to recoup principal reductions if property values increase over time. This program was developed in 2012, and was expanded in 2013 to all states where the program is permitted. Through March 31, 2015, we have completed nearly 51,000 modifications under the SAM program.</w:t>
      </w:r>
    </w:p>
    <w:p>
      <w:pPr>
        <w:spacing w:after="0" w:line="70"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Ocwen has been a leader in HAMP modifications since its inception in 2009. Ocwen has completed 20% of all HAMP-sponsored modifications, 45% more than the next highest servicer, according to data published by MHA in December 2014. Ocwen achieved 3-star ratings, the highest score, on all seven compliance categories in the same report.</w:t>
      </w:r>
    </w:p>
    <w:p>
      <w:pPr>
        <w:spacing w:after="0" w:line="18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recent regulatory settlements have significantly impacted our ability to grow our servicing portfolio because we have agreed to restrictions in our consent orders with the NY DFS and CA DBO that effectively prohibit future acquisitions of servicing until we have satisfied the respective conditions in those consent orders. Under the NY DFS consent order, we may acquire MSRs upon (a) meeting benchmarks specified by Goldin Associates, our newly appointed Operations Monitor, relating to our boarding process for newly acquired MSRs and our ability to adequately service newly acquired MSRs and our existing loan portfolio, and (b) the NY DFS’s approval, not to be unreasonably withheld. Under the CA DBO consent order, we agreed to cease acquiring any additional MSRs for loans secured in California until the CA DBO is satisfied that OLS can satisfactorily respond to the requests for information and documentation made in the course of a regulatory exam. If we are unable to satisfy these conditions, we will be unable to grow our servicing portfolio through acquisitions.</w:t>
      </w:r>
    </w:p>
    <w:p>
      <w:pPr>
        <w:spacing w:after="0" w:line="19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the implications of the regulatory environment in which we operate and to meet the requirements of the current environment. We devote substantial resources to regulatory compliance, while, at the same time, striving to meet the needs and expectations of our customers, clients and other stakeholders.</w:t>
      </w:r>
    </w:p>
    <w:p>
      <w:pPr>
        <w:spacing w:after="0" w:line="187"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We are actively executing on our strategy to sell certain of our Agency MSRs with the intent of reducing our exposure to interest rate movements, monetizing significant unrealized value and generating significant liquidity. In addition to proceeds received or paid in connection with the Agency MSR sales, we are reimbursed for servicing advances in connection with non-performing loans upon transfer and will no longer be obligated to make servicing advances in connection with these MSRs upon completion of the sale. We expect that reducing the size of our Agency servicing portfolio will help simplify our operations and help improve our margins over time. We have completed or announced sales of $9.1 billion and $84.2 billion UPB, respectively, as of March 31, 2015. Sales that have been announced but not yet closed remain subject, in each case, to necessary approvals and the satisfaction of closing conditions</w:t>
      </w:r>
    </w:p>
    <w:p>
      <w:pPr>
        <w:spacing w:after="0" w:line="18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UPB of our residential servicing portfolio declined from $398.7 billion as of December 31, 2014 to $382.2 billion as of March 31, 2015 primarily as a result of runoff and transfers.</w:t>
      </w:r>
    </w:p>
    <w:p>
      <w:pPr>
        <w:spacing w:after="0" w:line="170"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 addition to our efforts to optimize our servicing business, we continue to invest in our mortgage lending businesses. Ocwen provides forward and reverse mortgages directly, through call-center-based operations, and indirectly, through brokers, correspondents and relationships with lending partners. We believe the reverse mortgage business is a substantially under-developed market relative to its potential, and that it provides a potential source of long-term growth for Ocwen. We are investing in our forward lending business to build competitive advantages around processes and technology, leveraging the analytical foundations of our servicing business and the differentiated technology platform of our reverse mortgage business.</w:t>
      </w:r>
    </w:p>
    <w:p>
      <w:pPr>
        <w:spacing w:after="0" w:line="5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Several factors suggest that the demand for alternative credit products to support homeownership is growing. We believe that a large percentage of American households would be unable to qualify for a new mortgage in the current environment. This compares to a pre-financial crisis estimate that 70% of households could obtain mortgage loan financing in either the prime or non-prime lending market. Expanding access to credit has been solidly supported by community groups with whom we are in close contact. We expect innovative Qualified Mortgage products will be developed to access this underserved market in the future. In most cases, these products will require a flexible servicing platform that can manage the risks associated with non-prime or credit-impaired servicing, an area in which we believe we have strong competitive advantages. Through our Homeward and Liberty lending operations, we purchased or originated 4,724 and 1,823 forward and reverse mortgage loans with a UPB of $920.5 million and $191.8 million, respectively, during the first quarter of 2015.</w:t>
      </w:r>
    </w:p>
    <w:p>
      <w:pPr>
        <w:spacing w:after="0" w:line="84"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will continue to evaluate new adjacent market opportunities that are consistent with our strategic goals where we can capture competitive advantages and achieve attractive returns for our shareholders. These would include sustainable new opportunities that align with long-term macro trends; opportunities that can contribute meaningfully to our long-term growth and return on equity; and, generally, businesses where we feel we can capture and maintain a long-term competitive advantage (i.e., advantage related to our operating efficiencies, our cost of capital or our tax structure). We prefer businesses that can be structured efficiently around repetitive processes where we can utilize our operational expertise and innovation to create best-in-class practices.</w:t>
      </w:r>
    </w:p>
    <w:p>
      <w:pPr>
        <w:spacing w:after="0" w:line="5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On April 6, 2015, we amended our Master Servicing Rights Purchase Agreement and Sale Supplements (the Amendment) with NRZ in consideration of OLS’ consent to the assignment by HLSS to NRZ of all HLSS’ right, title and interest in, to and under the agreements. The Amendment extends and, we believe, strengthens our relationship with NRZ. Most notably, the Amendment extends the term of the agreements by two years or until April 30, 2020, whichever is earlier subject to maintaining or improving our servicer ratings and limits NRZ’s ability to transfer the servicing of any or all of the servicing agreements underlying the Rights to MSRs until April 6, 2017 even if further OLS servicer rating downgrades were to occur. We were also able to secure the future monetization of certain clean-up call rights we own. The Amendment provides that we will sell to NRZ, on an exclusive and “as is” basis, all economic</w:t>
      </w:r>
    </w:p>
    <w:p>
      <w:pPr>
        <w:sectPr>
          <w:pgSz w:w="11900" w:h="16934" w:orient="portrait"/>
          <w:cols w:equalWidth="0" w:num="1">
            <w:col w:w="11420"/>
          </w:cols>
          <w:pgMar w:left="240" w:top="580" w:right="239" w:bottom="0" w:gutter="0" w:footer="0" w:header="0"/>
        </w:sectPr>
      </w:pPr>
    </w:p>
    <w:bookmarkStart w:id="51" w:name="page52"/>
    <w:bookmarkEnd w:id="51"/>
    <w:p>
      <w:pPr>
        <w:ind w:right="220"/>
        <w:spacing w:after="0" w:line="264" w:lineRule="auto"/>
        <w:rPr>
          <w:sz w:val="20"/>
          <w:szCs w:val="20"/>
          <w:color w:val="auto"/>
        </w:rPr>
      </w:pPr>
      <w:r>
        <w:rPr>
          <w:rFonts w:ascii="Arial" w:cs="Arial" w:eastAsia="Arial" w:hAnsi="Arial"/>
          <w:sz w:val="18"/>
          <w:szCs w:val="18"/>
          <w:color w:val="auto"/>
        </w:rPr>
        <w:t>beneficial rights to the clean-up call rights we are entitled to pursuant to servicing agreements that underlie Rights to MSRs owned by NRZ, for a payment upon exercise of 0.50% of the UPB of all performing mortgage loans (mortgage loans that are current or 30 days or less delinquent) associated with the applicable clean up-call.</w:t>
      </w:r>
    </w:p>
    <w:p>
      <w:pPr>
        <w:spacing w:after="0" w:line="18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the event there is a future downgrade of OLS’ S&amp;P servicer rating below its current rating of "Average," OLS has agreed to compensate NRZ for certain increased costs associated with its servicing advance financing facilities, including increased costs of funding, to the extent such costs are the direct result of such downgrade. The Amendment provides that any such compensation, if required, shall not exceed $3.0 million for any calendar month or $36.0 million in the aggregate. In such an event, NRZ has agreed to use commercially reasonable efforts to assist OLS in curing any potential cost increases by obtaining amendments to the relevant financing agreements.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consolidated financial statements and the related notes thereto appearing elsewhere in this Quarterly Report on Form 10-Q and with our consolidated financial statements and notes thereto and management’s discussion and analysis of financial condition and results of operation appearing in our Annual Report on Form 10-K for the fiscal year ended December 31, 2014.</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125"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months ended March 31 and includes the results of acquired businesses from their acquisition dates.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446,541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490,459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(43,918)</w:t>
            </w: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44,504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43,987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517</w:t>
            </w: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19,399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2,584</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3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510,444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551,261</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(40,817)</w:t>
            </w:r>
          </w:p>
        </w:tc>
        <w:tc>
          <w:tcPr>
            <w:tcW w:w="14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1"/>
        </w:trPr>
        <w:tc>
          <w:tcPr>
            <w:tcW w:w="53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480" w:type="dxa"/>
            <w:vAlign w:val="bottom"/>
            <w:tcBorders>
              <w:bottom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Expenses</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378,358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349,194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29,164</w:t>
            </w: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(139,873)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20,477</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Gain on sale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26,406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26,406</w:t>
            </w: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(5,776)</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3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(89,257)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(130,364)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41,107</w:t>
            </w:r>
          </w:p>
        </w:tc>
        <w:tc>
          <w:tcPr>
            <w:tcW w:w="14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42,829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71,703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(28,874)</w:t>
            </w:r>
          </w:p>
        </w:tc>
        <w:tc>
          <w:tcPr>
            <w:tcW w:w="14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11,217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(2,777)</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3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34,389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60,486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(26,097)</w:t>
            </w:r>
          </w:p>
        </w:tc>
        <w:tc>
          <w:tcPr>
            <w:tcW w:w="14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53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b w:val="1"/>
                <w:bCs w:val="1"/>
                <w:color w:val="auto"/>
              </w:rPr>
              <w:t>Net income attributable to Ocwen stockholders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34,355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60,501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(26,146)</w:t>
            </w:r>
          </w:p>
        </w:tc>
        <w:tc>
          <w:tcPr>
            <w:tcW w:w="14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Preferred stock dividends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581</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0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Deemed dividend related to beneficial conversion feature of</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preferred stock</w:t>
            </w:r>
          </w:p>
        </w:tc>
        <w:tc>
          <w:tcPr>
            <w:tcW w:w="3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416</w:t>
            </w:r>
          </w:p>
        </w:tc>
        <w:tc>
          <w:tcPr>
            <w:tcW w:w="14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5300" w:type="dxa"/>
            <w:vAlign w:val="bottom"/>
            <w:tcBorders>
              <w:bottom w:val="single" w:sz="8" w:color="EAF9E8"/>
            </w:tcBorders>
          </w:tcPr>
          <w:p>
            <w:pPr>
              <w:ind w:left="380"/>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34,355</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59,504</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(25,149)</w:t>
            </w:r>
          </w:p>
        </w:tc>
        <w:tc>
          <w:tcPr>
            <w:tcW w:w="1480" w:type="dxa"/>
            <w:vAlign w:val="bottom"/>
            <w:tcBorders>
              <w:bottom w:val="single" w:sz="8" w:color="EAF9E8"/>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4"/>
        </w:trPr>
        <w:tc>
          <w:tcPr>
            <w:tcW w:w="53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Segment income (loss) before income taxes: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46,722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76,623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(29,901)</w:t>
            </w: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Lending</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15,983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15,404</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Corporate Items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(19,876)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(14,377)</w:t>
            </w: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97"/>
        </w:trPr>
        <w:tc>
          <w:tcPr>
            <w:tcW w:w="53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42,829</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71,703</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(28,874)</w:t>
            </w:r>
          </w:p>
        </w:tc>
        <w:tc>
          <w:tcPr>
            <w:tcW w:w="1480" w:type="dxa"/>
            <w:vAlign w:val="bottom"/>
            <w:tcBorders>
              <w:bottom w:val="single" w:sz="8" w:color="EAF9E8"/>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3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14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4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versus 2014</w:t>
      </w:r>
    </w:p>
    <w:p>
      <w:pPr>
        <w:spacing w:after="0" w:line="121"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Servicing and subservicing fees for the first quarter of 2015 were lower than the first quarter of 2014 due to a decline in the total average UPB of the residential servicing portfolio and a decline in total completed modifications, offset in part by an improvement in delinquencies.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increased during the first quarter of 2015 as compared to the first quarter of 2014:</w:t>
      </w:r>
    </w:p>
    <w:p>
      <w:pPr>
        <w:spacing w:after="0" w:line="117" w:lineRule="exact"/>
        <w:rPr>
          <w:sz w:val="20"/>
          <w:szCs w:val="20"/>
          <w:color w:val="auto"/>
        </w:rPr>
      </w:pPr>
    </w:p>
    <w:p>
      <w:pPr>
        <w:ind w:left="660" w:right="120" w:hanging="328"/>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recognized an impairment charge of $17.8 million in the first quarter of 2015 on our government-insured stratum of amortization method MSRs due to a decline in fair value below carrying value.</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Professional services were $35.5 million higher for the three months ended March 31, 2015. Higher costs related primarily to litigation, regulatory monitoring and compliance.</w:t>
      </w:r>
    </w:p>
    <w:p>
      <w:pPr>
        <w:ind w:left="660" w:right="100" w:hanging="328"/>
        <w:spacing w:after="0" w:line="25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Provisions for bad debts and other charges in connection with non-recoverable advances and receivables and servicing-related outsourcing expenses decreased $17.2 million and $7.1 million, respectively, as we have completed the transition of loans to the REALServicing® platform and as we have made progress integrating our servicing operations.</w:t>
      </w:r>
    </w:p>
    <w:p>
      <w:pPr>
        <w:sectPr>
          <w:pgSz w:w="11900" w:h="16838" w:orient="portrait"/>
          <w:cols w:equalWidth="0" w:num="1">
            <w:col w:w="11420"/>
          </w:cols>
          <w:pgMar w:left="240" w:top="688"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688" w:right="239" w:bottom="1440" w:gutter="0" w:footer="0" w:header="0"/>
          <w:type w:val="continuous"/>
        </w:sectPr>
      </w:pPr>
    </w:p>
    <w:bookmarkStart w:id="53" w:name="page54"/>
    <w:bookmarkEnd w:id="53"/>
    <w:p>
      <w:pPr>
        <w:ind w:firstLine="324"/>
        <w:spacing w:after="0" w:line="255" w:lineRule="auto"/>
        <w:rPr>
          <w:sz w:val="20"/>
          <w:szCs w:val="20"/>
          <w:color w:val="auto"/>
        </w:rPr>
      </w:pPr>
      <w:r>
        <w:rPr>
          <w:rFonts w:ascii="Arial" w:cs="Arial" w:eastAsia="Arial" w:hAnsi="Arial"/>
          <w:sz w:val="18"/>
          <w:szCs w:val="18"/>
          <w:color w:val="auto"/>
        </w:rPr>
        <w:t>Interest expense for the first quarter of 2015 decreased as compared to the first quarter of 2014 largely due to a decrease in interest expense on the NRZ financing liabilities offset in part by interest expense on the $350.0 million Senior Unsecured Notes we issued in May 2014. Interest expense on the NRZ financing liability was higher in the first quarter of 2014 as a result of an increase in the fair value of the underlying MSRs as a result of market driven changes in certain assumptions, including the estimated cost to finance advances. The cumulative effect of these assumption updates was an increase in the fair value of the NRZ financing liability, which is recorded as interest expense. There were no changes in fair value in the first quarter of 2015 related to assumption updates.</w:t>
      </w:r>
    </w:p>
    <w:p>
      <w:pPr>
        <w:spacing w:after="0" w:line="8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Other income for the first quarter of 2015 includes a gain of $26.9 million recognized on the sale of a $9.1 billion portfolio of Agency MSRs on March 31, 2015. Proceeds from the sale were $95.6 million, of which $49.5 million was received during the first quarter of 2015 and the remainder in April 2015. Proceeds amounts should not be construed as necessarily indicative of contractual sale prices, as these amounts exclude holdbacks, deal expenses and other amounts.</w:t>
      </w: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692" w:right="4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6660" w:type="dxa"/>
            <w:vAlign w:val="bottom"/>
            <w:gridSpan w:val="4"/>
          </w:tcPr>
          <w:p>
            <w:pPr>
              <w:ind w:left="340"/>
              <w:spacing w:after="0"/>
              <w:rPr>
                <w:sz w:val="20"/>
                <w:szCs w:val="20"/>
                <w:color w:val="auto"/>
              </w:rPr>
            </w:pPr>
            <w:r>
              <w:rPr>
                <w:rFonts w:ascii="Arial" w:cs="Arial" w:eastAsia="Arial" w:hAnsi="Arial"/>
                <w:sz w:val="18"/>
                <w:szCs w:val="18"/>
                <w:color w:val="auto"/>
                <w:w w:val="90"/>
              </w:rPr>
              <w:t>The following table summarizes our consolidated balance sheets at the dates indicated.</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60"/>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2015</w:t>
            </w: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8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18"/>
        </w:trPr>
        <w:tc>
          <w:tcPr>
            <w:tcW w:w="5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0" w:type="dxa"/>
            <w:vAlign w:val="bottom"/>
            <w:shd w:val="clear" w:color="auto" w:fill="EAF9E8"/>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242,332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129,473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112,859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50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9"/>
              </w:rPr>
              <w:t>Mortgage servicing rights ($897,797 and $93,901 carried at fair</w:t>
            </w: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0" w:type="dxa"/>
            <w:vAlign w:val="bottom"/>
            <w:shd w:val="clear" w:color="auto" w:fill="EAF9E8"/>
          </w:tcPr>
          <w:p>
            <w:pPr>
              <w:spacing w:after="0"/>
              <w:rPr>
                <w:sz w:val="19"/>
                <w:szCs w:val="19"/>
                <w:color w:val="auto"/>
              </w:rPr>
            </w:pPr>
          </w:p>
        </w:tc>
      </w:tr>
      <w:tr>
        <w:trPr>
          <w:trHeight w:val="237"/>
        </w:trPr>
        <w:tc>
          <w:tcPr>
            <w:tcW w:w="50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1,820,651</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1,913,992</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(93,341)</w:t>
            </w:r>
          </w:p>
        </w:tc>
        <w:tc>
          <w:tcPr>
            <w:tcW w:w="17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Advances and match funded advances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3,195,505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3,303,356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(107,851)</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7"/>
              </w:rPr>
              <w:t>Loans held for sale ($339,508 and $401,120 carried at fair value)</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407,997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488,612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(80,615)</w:t>
            </w:r>
          </w:p>
        </w:tc>
        <w:tc>
          <w:tcPr>
            <w:tcW w:w="17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1,808,141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1,550,141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258,000</w:t>
            </w:r>
          </w:p>
        </w:tc>
        <w:tc>
          <w:tcPr>
            <w:tcW w:w="172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($7,701 and $7,355 carried at fair value)</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912,148</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881,704</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30,444</w:t>
            </w:r>
          </w:p>
        </w:tc>
        <w:tc>
          <w:tcPr>
            <w:tcW w:w="17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r>
      <w:tr>
        <w:trPr>
          <w:trHeight w:val="297"/>
        </w:trPr>
        <w:tc>
          <w:tcPr>
            <w:tcW w:w="508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8,386,774</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8,267,278</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119,496</w:t>
            </w:r>
          </w:p>
        </w:tc>
        <w:tc>
          <w:tcPr>
            <w:tcW w:w="17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1 %</w:t>
            </w:r>
          </w:p>
        </w:tc>
      </w:tr>
      <w:tr>
        <w:trPr>
          <w:trHeight w:val="311"/>
        </w:trPr>
        <w:tc>
          <w:tcPr>
            <w:tcW w:w="5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0" w:type="dxa"/>
            <w:vAlign w:val="bottom"/>
            <w:shd w:val="clear" w:color="auto" w:fill="EAF9E8"/>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Assets by Segment:</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5,733,630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5,881,862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(148,232)</w:t>
            </w:r>
          </w:p>
        </w:tc>
        <w:tc>
          <w:tcPr>
            <w:tcW w:w="17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Lending</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2,165,742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1,963,729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202,013</w:t>
            </w:r>
          </w:p>
        </w:tc>
        <w:tc>
          <w:tcPr>
            <w:tcW w:w="172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487,402</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421,687</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65,715</w:t>
            </w:r>
          </w:p>
        </w:tc>
        <w:tc>
          <w:tcPr>
            <w:tcW w:w="17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16</w:t>
            </w:r>
          </w:p>
        </w:tc>
      </w:tr>
      <w:tr>
        <w:trPr>
          <w:trHeight w:val="297"/>
        </w:trPr>
        <w:tc>
          <w:tcPr>
            <w:tcW w:w="508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8,386,774</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8,267,278</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119,496</w:t>
            </w:r>
          </w:p>
        </w:tc>
        <w:tc>
          <w:tcPr>
            <w:tcW w:w="17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1 %</w:t>
            </w:r>
          </w:p>
        </w:tc>
      </w:tr>
      <w:tr>
        <w:trPr>
          <w:trHeight w:val="311"/>
        </w:trPr>
        <w:tc>
          <w:tcPr>
            <w:tcW w:w="5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0" w:type="dxa"/>
            <w:vAlign w:val="bottom"/>
            <w:shd w:val="clear" w:color="auto" w:fill="EAF9E8"/>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2,000,676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(89,571)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5080" w:type="dxa"/>
            <w:vAlign w:val="bottom"/>
            <w:shd w:val="clear" w:color="auto" w:fill="EAF9E8"/>
          </w:tcPr>
          <w:p>
            <w:pPr>
              <w:ind w:left="40"/>
              <w:spacing w:after="0"/>
              <w:rPr>
                <w:sz w:val="20"/>
                <w:szCs w:val="20"/>
                <w:color w:val="auto"/>
              </w:rPr>
            </w:pPr>
            <w:r>
              <w:rPr>
                <w:rFonts w:ascii="Arial" w:cs="Arial" w:eastAsia="Arial" w:hAnsi="Arial"/>
                <w:sz w:val="18"/>
                <w:szCs w:val="18"/>
                <w:color w:val="auto"/>
              </w:rPr>
              <w:t>Financing liabilities ($2,296,892 and $2,058,693 carried at fair</w:t>
            </w: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0" w:type="dxa"/>
            <w:vAlign w:val="bottom"/>
            <w:shd w:val="clear" w:color="auto" w:fill="EAF9E8"/>
          </w:tcPr>
          <w:p>
            <w:pPr>
              <w:spacing w:after="0"/>
              <w:rPr>
                <w:sz w:val="19"/>
                <w:szCs w:val="19"/>
                <w:color w:val="auto"/>
              </w:rPr>
            </w:pPr>
          </w:p>
        </w:tc>
      </w:tr>
      <w:tr>
        <w:trPr>
          <w:trHeight w:val="237"/>
        </w:trPr>
        <w:tc>
          <w:tcPr>
            <w:tcW w:w="50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2,488,607</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2,258,641</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229,966</w:t>
            </w:r>
          </w:p>
        </w:tc>
        <w:tc>
          <w:tcPr>
            <w:tcW w:w="17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1,603,707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1,733,691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(129,984)</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unsecured notes</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822,244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793,534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28,710</w:t>
            </w:r>
          </w:p>
        </w:tc>
        <w:tc>
          <w:tcPr>
            <w:tcW w:w="172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r>
      <w:tr>
        <w:trPr>
          <w:trHeight w:val="27"/>
        </w:trPr>
        <w:tc>
          <w:tcPr>
            <w:tcW w:w="508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r>
      <w:tr>
        <w:trPr>
          <w:trHeight w:val="264"/>
        </w:trPr>
        <w:tc>
          <w:tcPr>
            <w:tcW w:w="5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7,265,234</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7,226,113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39,121</w:t>
            </w:r>
          </w:p>
        </w:tc>
        <w:tc>
          <w:tcPr>
            <w:tcW w:w="17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1 %</w:t>
            </w:r>
          </w:p>
        </w:tc>
      </w:tr>
      <w:tr>
        <w:trPr>
          <w:trHeight w:val="318"/>
        </w:trPr>
        <w:tc>
          <w:tcPr>
            <w:tcW w:w="50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Ocwen stockholders’ equity</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1,118,735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1,038,394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80,341</w:t>
            </w:r>
          </w:p>
        </w:tc>
        <w:tc>
          <w:tcPr>
            <w:tcW w:w="17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72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r>
      <w:tr>
        <w:trPr>
          <w:trHeight w:val="27"/>
        </w:trPr>
        <w:tc>
          <w:tcPr>
            <w:tcW w:w="508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r>
      <w:tr>
        <w:trPr>
          <w:trHeight w:val="264"/>
        </w:trPr>
        <w:tc>
          <w:tcPr>
            <w:tcW w:w="5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1,121,540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1,041,165</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80,375</w:t>
            </w:r>
          </w:p>
        </w:tc>
        <w:tc>
          <w:tcPr>
            <w:tcW w:w="17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w:t>
            </w:r>
          </w:p>
        </w:tc>
      </w:tr>
      <w:tr>
        <w:trPr>
          <w:trHeight w:val="297"/>
        </w:trPr>
        <w:tc>
          <w:tcPr>
            <w:tcW w:w="50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8,386,774</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8,267,278</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119,496</w:t>
            </w:r>
          </w:p>
        </w:tc>
        <w:tc>
          <w:tcPr>
            <w:tcW w:w="17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1 %</w:t>
            </w:r>
          </w:p>
        </w:tc>
      </w:tr>
      <w:tr>
        <w:trPr>
          <w:trHeight w:val="311"/>
        </w:trPr>
        <w:tc>
          <w:tcPr>
            <w:tcW w:w="5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0" w:type="dxa"/>
            <w:vAlign w:val="bottom"/>
            <w:shd w:val="clear" w:color="auto" w:fill="EAF9E8"/>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4,821,965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4,986,877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(164,912)</w:t>
            </w:r>
          </w:p>
        </w:tc>
        <w:tc>
          <w:tcPr>
            <w:tcW w:w="17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Lending</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2,102,781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1,900,672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202,109</w:t>
            </w:r>
          </w:p>
        </w:tc>
        <w:tc>
          <w:tcPr>
            <w:tcW w:w="172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340,488</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338,564</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1,924</w:t>
            </w:r>
          </w:p>
        </w:tc>
        <w:tc>
          <w:tcPr>
            <w:tcW w:w="17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r>
      <w:tr>
        <w:trPr>
          <w:trHeight w:val="297"/>
        </w:trPr>
        <w:tc>
          <w:tcPr>
            <w:tcW w:w="508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7,265,234</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7,226,113</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39,121</w:t>
            </w:r>
          </w:p>
        </w:tc>
        <w:tc>
          <w:tcPr>
            <w:tcW w:w="17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50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n/m: not meaningful</w:t>
            </w:r>
          </w:p>
        </w:tc>
        <w:tc>
          <w:tcPr>
            <w:tcW w:w="120" w:type="dxa"/>
            <w:vAlign w:val="bottom"/>
            <w:shd w:val="clear" w:color="auto" w:fill="EAF9E8"/>
          </w:tcPr>
          <w:p>
            <w:pPr>
              <w:spacing w:after="0"/>
              <w:rPr>
                <w:sz w:val="20"/>
                <w:szCs w:val="20"/>
                <w:color w:val="auto"/>
              </w:rPr>
            </w:pPr>
          </w:p>
        </w:tc>
        <w:tc>
          <w:tcPr>
            <w:tcW w:w="13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3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600" w:type="dxa"/>
            <w:vAlign w:val="bottom"/>
            <w:shd w:val="clear" w:color="auto" w:fill="EAF9E8"/>
          </w:tcPr>
          <w:p>
            <w:pPr>
              <w:spacing w:after="0"/>
              <w:rPr>
                <w:sz w:val="20"/>
                <w:szCs w:val="20"/>
                <w:color w:val="auto"/>
              </w:rPr>
            </w:pPr>
          </w:p>
        </w:tc>
      </w:tr>
      <w:tr>
        <w:trPr>
          <w:trHeight w:val="27"/>
        </w:trPr>
        <w:tc>
          <w:tcPr>
            <w:tcW w:w="50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3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MSRs decreased primarily as a result of amortization of $38.5 million, sales of $65.6 million, a $33.2 million decline in fair value and an impairment charge of $17.8 million. These declines were offset in part by new capitalization MSRs of $8.5 million generated from our lending platform.</w:t>
      </w:r>
    </w:p>
    <w:p>
      <w:pPr>
        <w:spacing w:after="0" w:line="1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Effective January 1, 2015, we elected fair value for a newly-created class of non-Agency MSRs, which were previously accounted for using the amortization method. We recorded a cumulative-effect adjustment of $42.8 million, net of deferred income taxes, to retained earnings as of January 1, 2015 to reflect the excess of the fair value of these MSRs over their carrying amount.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88" w:right="239" w:bottom="1440" w:gutter="0" w:footer="0" w:header="0"/>
        </w:sectPr>
      </w:pPr>
    </w:p>
    <w:bookmarkStart w:id="55" w:name="page56"/>
    <w:bookmarkEnd w:id="55"/>
    <w:p>
      <w:pPr>
        <w:ind w:firstLine="324"/>
        <w:spacing w:after="0" w:line="264" w:lineRule="auto"/>
        <w:rPr>
          <w:sz w:val="20"/>
          <w:szCs w:val="20"/>
          <w:color w:val="auto"/>
        </w:rPr>
      </w:pPr>
      <w:r>
        <w:rPr>
          <w:rFonts w:ascii="Arial" w:cs="Arial" w:eastAsia="Arial" w:hAnsi="Arial"/>
          <w:sz w:val="18"/>
          <w:szCs w:val="18"/>
          <w:color w:val="auto"/>
        </w:rPr>
        <w:t>Loans held for investment and financing liabilities increased as a result of our reverse mortgage securitizations accounted for as secured financings. Other secured borrowings declined due to a reduction in borrowings under our mortgage loan warehouse facilities, consistent with the decline in the balance of loans held for sale, and a $73.8 million prepayment due as a result of the MSR sale on March 31, 2015.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activities are organized into two reportable business segments - Servicing and Lending, as well as a Corporate Items and Other segment.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non-Agency residential mortgage-backed securities (RMBS) trusts and some of the largest financial institutions in the U.S., including Fannie Mae, Freddie Mac and Ginnie Mae.</w:t>
      </w:r>
    </w:p>
    <w:p>
      <w:pPr>
        <w:spacing w:after="0" w:line="7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Servicing primarily involves the collection and remittance of principal and interest payments received from borrowers, the administration of mortgage escrow accounts and the collection of insurance claims. Servicing also involves the management of loans that are delinquent, including those in foreclosure or bankruptcy, making servicing advances, evaluating loans for modification and other loss mitigation activities and, if necessary, foreclosure referrals and REO sales on behalf of investors or other servicers. Master servicing involves the collection of payments from servicers and the distribution of funds to investors in mortgage and asset-backed securities and whole loan packages. We earn contractual monthly servicing fees pursuant to servicing agreements (which are typically payable as a percentage of UPB) as well as ancillary fees in connection with owned MSRs. We also earn fees under both subservicing and special servicing arrangements with banks and other institutions that own the MSRs.</w:t>
      </w:r>
    </w:p>
    <w:p>
      <w:pPr>
        <w:spacing w:after="0" w:line="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recognize servicing fees as revenue when the fees are earned, which is generally when the borrower makes a payment or when a delinquent loan is resolved through modification, repayment plan, payoff or through the sale of the underlying mortgaged property following foreclosure. Therefore, our revenue recognition is generally a function of UPB, the number of payments received and delinquent loans that resolve. Servicing fee revenue from subservicing and special servicing arrangements may be earned on a per loan basis, which is typically dependent on delinquency status. When a loan becomes current via our non-HAMP modification process, deferred servicing fees and late fees are considered earned and are recognized as revenue. However, if any debt is forgiven as part of a non-HAMP modification, no late fees are collected or earned. When a loan becomes current via the HAMP modification process, deferred servicing fees are earned and recognized as revenue. However, late fees are forfeited. Initial HAMP fees are also recognized as revenue at that time. In addition, under HAMP, if a modified loan remains less than 90 days delinquent, we earn HAMP success fees at the first, second and third anniversaries of the start of the trial modification.</w:t>
      </w:r>
    </w:p>
    <w:p>
      <w:pPr>
        <w:spacing w:after="0" w:line="18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HUD, Freddie Mac, Fannie Mae and Ginnie Mae have approved OLS as a loan servicer. We are also the subject of mortgage servicer ratings issued and revised from time to time by rating agencies including Moody’s Investors Services, Inc. (Moody’s), Morningstar, Inc. (Morningstar), Standard &amp; Poor’s Rating Services (S&amp;P) and Fitch Ratings Inc. (Fitch). Favorable ratings from these agencies are important to the conduct of our loan servicing and lending businesses.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key ratings by these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10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Moody’s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4"/>
              </w:rPr>
              <w:t>Morningstar</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7"/>
              </w:rPr>
              <w:t>S&amp;P</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39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210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RPS4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2100" w:type="dxa"/>
            <w:vAlign w:val="bottom"/>
          </w:tcPr>
          <w:p>
            <w:pPr>
              <w:jc w:val="center"/>
              <w:ind w:left="190"/>
              <w:spacing w:after="0"/>
              <w:rPr>
                <w:sz w:val="20"/>
                <w:szCs w:val="20"/>
                <w:color w:val="auto"/>
              </w:rPr>
            </w:pPr>
            <w:r>
              <w:rPr>
                <w:rFonts w:ascii="Arial" w:cs="Arial" w:eastAsia="Arial" w:hAnsi="Arial"/>
                <w:sz w:val="18"/>
                <w:szCs w:val="18"/>
                <w:color w:val="auto"/>
                <w:w w:val="90"/>
              </w:rPr>
              <w:t>SQ3-</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MOR RS3 (1)</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RPS4</w:t>
            </w:r>
          </w:p>
        </w:tc>
      </w:tr>
      <w:tr>
        <w:trPr>
          <w:trHeight w:val="27"/>
        </w:trPr>
        <w:tc>
          <w:tcPr>
            <w:tcW w:w="3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210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RSS4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2100" w:type="dxa"/>
            <w:vAlign w:val="bottom"/>
          </w:tcPr>
          <w:p>
            <w:pPr>
              <w:jc w:val="center"/>
              <w:ind w:left="1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RPS4</w:t>
            </w:r>
          </w:p>
        </w:tc>
      </w:tr>
      <w:tr>
        <w:trPr>
          <w:trHeight w:val="27"/>
        </w:trPr>
        <w:tc>
          <w:tcPr>
            <w:tcW w:w="3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210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RPS4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Residential Alt A Servicer</w:t>
            </w:r>
          </w:p>
        </w:tc>
        <w:tc>
          <w:tcPr>
            <w:tcW w:w="2100" w:type="dxa"/>
            <w:vAlign w:val="bottom"/>
          </w:tcPr>
          <w:p>
            <w:pPr>
              <w:jc w:val="center"/>
              <w:ind w:left="1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RPS4</w:t>
            </w:r>
          </w:p>
        </w:tc>
      </w:tr>
      <w:tr>
        <w:trPr>
          <w:trHeight w:val="27"/>
        </w:trPr>
        <w:tc>
          <w:tcPr>
            <w:tcW w:w="3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210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Above Average</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RMS4</w:t>
            </w:r>
          </w:p>
        </w:tc>
      </w:tr>
      <w:tr>
        <w:trPr>
          <w:trHeight w:val="324"/>
        </w:trPr>
        <w:tc>
          <w:tcPr>
            <w:tcW w:w="3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Date of last action</w:t>
            </w:r>
          </w:p>
        </w:tc>
        <w:tc>
          <w:tcPr>
            <w:tcW w:w="2100" w:type="dxa"/>
            <w:vAlign w:val="bottom"/>
            <w:tcBorders>
              <w:bottom w:val="single" w:sz="8" w:color="EAF9E8"/>
            </w:tcBorders>
            <w:shd w:val="clear" w:color="auto" w:fill="EAF9E8"/>
          </w:tcPr>
          <w:p>
            <w:pPr>
              <w:jc w:val="center"/>
              <w:ind w:left="170"/>
              <w:spacing w:after="0"/>
              <w:rPr>
                <w:sz w:val="20"/>
                <w:szCs w:val="20"/>
                <w:color w:val="auto"/>
              </w:rPr>
            </w:pPr>
            <w:r>
              <w:rPr>
                <w:rFonts w:ascii="Arial" w:cs="Arial" w:eastAsia="Arial" w:hAnsi="Arial"/>
                <w:sz w:val="18"/>
                <w:szCs w:val="18"/>
                <w:color w:val="auto"/>
                <w:w w:val="89"/>
              </w:rPr>
              <w:t>January 29, 2015</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February 6, 2015</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October 28, 2014</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February 4, 2015</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(1)   Residential non-prime servicer rating.</w:t>
            </w:r>
          </w:p>
        </w:tc>
        <w:tc>
          <w:tcPr>
            <w:tcW w:w="2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9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Each of these rating agencies has downgraded our servicer rating within the last nine months. In addition to ratings, each of the rating agencies will from time to time assign an outlook (or a ratings watch such as Moody’s review status) to a mortgage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2" w:right="239" w:bottom="1440" w:gutter="0" w:footer="0" w:header="0"/>
        </w:sectPr>
      </w:pPr>
    </w:p>
    <w:bookmarkStart w:id="56" w:name="page57"/>
    <w:bookmarkEnd w:id="56"/>
    <w:p>
      <w:pPr>
        <w:ind w:right="260"/>
        <w:spacing w:after="0" w:line="297" w:lineRule="auto"/>
        <w:rPr>
          <w:sz w:val="20"/>
          <w:szCs w:val="20"/>
          <w:color w:val="auto"/>
        </w:rPr>
      </w:pPr>
      <w:r>
        <w:rPr>
          <w:rFonts w:ascii="Arial" w:cs="Arial" w:eastAsia="Arial" w:hAnsi="Arial"/>
          <w:sz w:val="16"/>
          <w:szCs w:val="16"/>
          <w:color w:val="auto"/>
        </w:rPr>
        <w:t>servicer’s rating status. A negative outlook is generally used to indicate that a ranking “may be lowered.” Each of S&amp;P and Morningstar has assigned us a negative outlook, while Moody’s has placed us on review for downgrade. Fitch has assigned us a stable outlook. Downgrades in our servicer ratings could affect the terms and availability of debt financing facilities that we may seek in the future, and could impair our ability to consummate future servicing transactions or adversely affect our dealings with contractual counterparties and regulators, including our ability to maintain our status as an approved servicer by Fannie Mae and Freddie Mac. In addition, some of our servicing agreements require that we maintain specified servicer ratings.</w:t>
      </w:r>
    </w:p>
    <w:p>
      <w:pPr>
        <w:spacing w:after="0" w:line="1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Certain of our servicing agreements require that we maintain specified servicer ratings. Out of approximately 4,100 non-Agency servicing agreements, approximately 700 with approximately $45.0 billion of UPB as of March 31, 2015 have minimum servicer ratings criteria. As a result of downgrades in our servicer ratings, termination rights have been triggered in approximately 400 of these non-Agency servicing agreements. This represents approximately $25.0 billion in UPB as of March 31, 2015, or approximately 12% of our total non-Agency servicing portfolio. We received notices terminating us as the servicer under four of our non-Agency servicing agreements due to rating downgrades in the first quarter of 2015. Pursuant to our servicing agreements, we are generally entitled to payment of accrued and unpaid servicing fees through termination as well as all advances and certain other previously unreimbursed amounts, although we lose the future servicing fee revenue. The financial impact of the termination of servicing under these four servicing agreements, which represent only 0.15% of our overall servicing portfolio as of March 31, 2015, are immaterial to our overall financial condition. We could be subject to further terminations, either as a result of recent servicer ratings downgrades or future adverse actions by rating agencies, which could have an adverse effect on our business, financing activities,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692" w:right="279" w:bottom="1440" w:gutter="0" w:footer="0" w:header="0"/>
        </w:sectPr>
      </w:pPr>
    </w:p>
    <w:bookmarkStart w:id="57" w:name="page58"/>
    <w:bookmarkEnd w:id="57"/>
    <w:p>
      <w:pPr>
        <w:ind w:right="28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three months ended March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vMerge w:val="continue"/>
          </w:tcPr>
          <w:p>
            <w:pPr>
              <w:spacing w:after="0"/>
              <w:rPr>
                <w:sz w:val="20"/>
                <w:szCs w:val="20"/>
                <w:color w:val="auto"/>
              </w:rPr>
            </w:pPr>
          </w:p>
        </w:tc>
        <w:tc>
          <w:tcPr>
            <w:tcW w:w="2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subservicing fees:</w:t>
            </w:r>
          </w:p>
        </w:tc>
        <w:tc>
          <w:tcPr>
            <w:tcW w:w="24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Residential</w:t>
            </w:r>
          </w:p>
        </w:tc>
        <w:tc>
          <w:tcPr>
            <w:tcW w:w="2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443,903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486,512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Commercial</w:t>
            </w:r>
          </w:p>
        </w:tc>
        <w:tc>
          <w:tcPr>
            <w:tcW w:w="244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2,571</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3,479</w:t>
            </w:r>
          </w:p>
        </w:tc>
        <w:tc>
          <w:tcPr>
            <w:tcW w:w="150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446,474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489,991</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24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14,878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21,211</w:t>
            </w:r>
          </w:p>
        </w:tc>
        <w:tc>
          <w:tcPr>
            <w:tcW w:w="150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9,621</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revenue</w:t>
            </w:r>
          </w:p>
        </w:tc>
        <w:tc>
          <w:tcPr>
            <w:tcW w:w="24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471,125</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520,823</w:t>
            </w:r>
          </w:p>
        </w:tc>
        <w:tc>
          <w:tcPr>
            <w:tcW w:w="150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44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24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61,526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72,405</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4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38,405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61,779</w:t>
            </w:r>
          </w:p>
        </w:tc>
        <w:tc>
          <w:tcPr>
            <w:tcW w:w="150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99,567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38,847</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4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23,844</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29,854</w:t>
            </w:r>
          </w:p>
        </w:tc>
        <w:tc>
          <w:tcPr>
            <w:tcW w:w="150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28,643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7,909</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4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18,939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26,942</w:t>
            </w:r>
          </w:p>
        </w:tc>
        <w:tc>
          <w:tcPr>
            <w:tcW w:w="150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66,987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70,197</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24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337,911</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307,933</w:t>
            </w:r>
          </w:p>
        </w:tc>
        <w:tc>
          <w:tcPr>
            <w:tcW w:w="150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44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24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(110,629)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(136,386)</w:t>
            </w:r>
          </w:p>
        </w:tc>
        <w:tc>
          <w:tcPr>
            <w:tcW w:w="150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Gain on sale of mortgage servicing rights</w:t>
            </w:r>
          </w:p>
        </w:tc>
        <w:tc>
          <w:tcPr>
            <w:tcW w:w="2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26,406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44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442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24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(136,267)</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shd w:val="clear" w:color="auto" w:fill="EAF9E8"/>
          </w:tcPr>
          <w:p>
            <w:pPr>
              <w:spacing w:after="0"/>
              <w:rPr>
                <w:sz w:val="22"/>
                <w:szCs w:val="22"/>
                <w:color w:val="auto"/>
              </w:rPr>
            </w:pPr>
          </w:p>
        </w:tc>
        <w:tc>
          <w:tcPr>
            <w:tcW w:w="244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3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46,722</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76,623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442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2440" w:type="dxa"/>
            <w:vAlign w:val="bottom"/>
            <w:tcBorders>
              <w:top w:val="single" w:sz="8" w:color="EAF9E8"/>
              <w:bottom w:val="single" w:sz="8" w:color="EAF9E8"/>
            </w:tcBorders>
            <w:shd w:val="clear" w:color="auto" w:fill="EAF9E8"/>
          </w:tcPr>
          <w:p>
            <w:pPr>
              <w:spacing w:after="0"/>
              <w:rPr>
                <w:sz w:val="20"/>
                <w:szCs w:val="20"/>
                <w:color w:val="auto"/>
              </w:rPr>
            </w:pPr>
          </w:p>
        </w:tc>
        <w:tc>
          <w:tcPr>
            <w:tcW w:w="340" w:type="dxa"/>
            <w:vAlign w:val="bottom"/>
            <w:tcBorders>
              <w:top w:val="single" w:sz="8" w:color="auto"/>
              <w:bottom w:val="single" w:sz="8" w:color="EAF9E8"/>
            </w:tcBorders>
            <w:shd w:val="clear" w:color="auto" w:fill="EAF9E8"/>
          </w:tcPr>
          <w:p>
            <w:pPr>
              <w:spacing w:after="0"/>
              <w:rPr>
                <w:sz w:val="20"/>
                <w:szCs w:val="20"/>
                <w:color w:val="auto"/>
              </w:rPr>
            </w:pPr>
          </w:p>
        </w:tc>
        <w:tc>
          <w:tcPr>
            <w:tcW w:w="112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340" w:type="dxa"/>
            <w:vAlign w:val="bottom"/>
            <w:tcBorders>
              <w:top w:val="single" w:sz="8" w:color="auto"/>
              <w:bottom w:val="single" w:sz="8" w:color="EAF9E8"/>
            </w:tcBorders>
            <w:shd w:val="clear" w:color="auto" w:fill="EAF9E8"/>
          </w:tcPr>
          <w:p>
            <w:pPr>
              <w:spacing w:after="0"/>
              <w:rPr>
                <w:sz w:val="20"/>
                <w:szCs w:val="20"/>
                <w:color w:val="auto"/>
              </w:rPr>
            </w:pPr>
          </w:p>
        </w:tc>
        <w:tc>
          <w:tcPr>
            <w:tcW w:w="112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1380" w:type="dxa"/>
            <w:vAlign w:val="bottom"/>
            <w:tcBorders>
              <w:top w:val="single" w:sz="8" w:color="EAF9E8"/>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20" w:type="dxa"/>
            <w:vAlign w:val="bottom"/>
          </w:tcPr>
          <w:p>
            <w:pPr>
              <w:spacing w:after="0"/>
              <w:rPr>
                <w:sz w:val="24"/>
                <w:szCs w:val="24"/>
                <w:color w:val="auto"/>
              </w:rPr>
            </w:pPr>
          </w:p>
        </w:tc>
        <w:tc>
          <w:tcPr>
            <w:tcW w:w="2440" w:type="dxa"/>
            <w:vAlign w:val="bottom"/>
          </w:tcPr>
          <w:p>
            <w:pPr>
              <w:jc w:val="right"/>
              <w:ind w:right="97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4" w:right="25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340"/>
              <w:spacing w:after="0"/>
              <w:rPr>
                <w:sz w:val="20"/>
                <w:szCs w:val="20"/>
                <w:color w:val="auto"/>
              </w:rPr>
            </w:pPr>
            <w:r>
              <w:rPr>
                <w:rFonts w:ascii="Arial" w:cs="Arial" w:eastAsia="Arial" w:hAnsi="Arial"/>
                <w:sz w:val="18"/>
                <w:szCs w:val="18"/>
                <w:color w:val="auto"/>
              </w:rPr>
              <w:t>The following table provides selected operating statistics at March 31:</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4"/>
                <w:szCs w:val="24"/>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5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Unpaid principal balance:</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334,299,912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387,577,700</w:t>
            </w:r>
          </w:p>
        </w:tc>
        <w:tc>
          <w:tcPr>
            <w:tcW w:w="14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41,034,550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55,587,910</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6,879,540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6,404,986</w:t>
            </w:r>
          </w:p>
        </w:tc>
        <w:tc>
          <w:tcPr>
            <w:tcW w:w="14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residential assets serviced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382,214,002</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449,570,596</w:t>
            </w:r>
          </w:p>
        </w:tc>
        <w:tc>
          <w:tcPr>
            <w:tcW w:w="14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4"/>
        </w:trPr>
        <w:tc>
          <w:tcPr>
            <w:tcW w:w="65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Conventional loans (2)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182,671,729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215,398,758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 insured loans</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37,111,359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44,499,178</w:t>
            </w:r>
          </w:p>
        </w:tc>
        <w:tc>
          <w:tcPr>
            <w:tcW w:w="14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Non-Agency loans (3)</w:t>
            </w: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162,430,914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189,672,660</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residential loans serviced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382,214,002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449,570,596</w:t>
            </w:r>
          </w:p>
        </w:tc>
        <w:tc>
          <w:tcPr>
            <w:tcW w:w="14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UPB:</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Non-performing residential assets serviced (4)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Number of:</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2,151,658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2,454,194</w:t>
            </w:r>
          </w:p>
        </w:tc>
        <w:tc>
          <w:tcPr>
            <w:tcW w:w="14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202,813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275,911</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36,303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33,282</w:t>
            </w:r>
          </w:p>
        </w:tc>
        <w:tc>
          <w:tcPr>
            <w:tcW w:w="14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number of residential assets serviced</w:t>
            </w: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2,390,774</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2,763,387</w:t>
            </w:r>
          </w:p>
        </w:tc>
        <w:tc>
          <w:tcPr>
            <w:tcW w:w="14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4"/>
        </w:trPr>
        <w:tc>
          <w:tcPr>
            <w:tcW w:w="65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Conventional loans (2)</w:t>
            </w: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1,044,149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1,203,870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 insured loans</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253,818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290,241</w:t>
            </w:r>
          </w:p>
        </w:tc>
        <w:tc>
          <w:tcPr>
            <w:tcW w:w="14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Non-Agency loans (3)</w:t>
            </w: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1,092,807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1,269,276</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residential loans serviced</w:t>
            </w:r>
          </w:p>
        </w:tc>
        <w:tc>
          <w:tcPr>
            <w:tcW w:w="34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2,390,774</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2,763,387</w:t>
            </w:r>
          </w:p>
        </w:tc>
        <w:tc>
          <w:tcPr>
            <w:tcW w:w="14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Percent of total number:</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Servicing portfolio</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Subservicing portfolio</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Non-performing residential assets serviced (4)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51"/>
        </w:trPr>
        <w:tc>
          <w:tcPr>
            <w:tcW w:w="8280" w:type="dxa"/>
            <w:vAlign w:val="bottom"/>
            <w:gridSpan w:val="4"/>
          </w:tcPr>
          <w:p>
            <w:pPr>
              <w:ind w:left="340"/>
              <w:spacing w:after="0"/>
              <w:rPr>
                <w:sz w:val="20"/>
                <w:szCs w:val="20"/>
                <w:color w:val="auto"/>
              </w:rPr>
            </w:pPr>
            <w:r>
              <w:rPr>
                <w:rFonts w:ascii="Arial" w:cs="Arial" w:eastAsia="Arial" w:hAnsi="Arial"/>
                <w:sz w:val="18"/>
                <w:szCs w:val="18"/>
                <w:color w:val="auto"/>
              </w:rPr>
              <w:t>The following table provides selected operating statistics for the three months ended March 31:</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4"/>
                <w:szCs w:val="24"/>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UPB of residential assets serviced:</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354,022,804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394,810,178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38,294,670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61,739,926</w:t>
            </w:r>
          </w:p>
        </w:tc>
        <w:tc>
          <w:tcPr>
            <w:tcW w:w="14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392,317,474</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456,550,104</w:t>
            </w:r>
          </w:p>
        </w:tc>
        <w:tc>
          <w:tcPr>
            <w:tcW w:w="14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1"/>
        </w:trPr>
        <w:tc>
          <w:tcPr>
            <w:tcW w:w="65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Prepayment speed (average CPR)</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Voluntary</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w:t>
            </w:r>
          </w:p>
        </w:tc>
        <w:tc>
          <w:tcPr>
            <w:tcW w:w="14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 Involuntary</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692" w:right="2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960" w:type="dxa"/>
            <w:vAlign w:val="bottom"/>
            <w:tcBorders>
              <w:bottom w:val="single" w:sz="8" w:color="EAF9E8"/>
            </w:tcBorders>
          </w:tcPr>
          <w:p>
            <w:pPr>
              <w:spacing w:after="0"/>
              <w:rPr>
                <w:sz w:val="2"/>
                <w:szCs w:val="2"/>
                <w:color w:val="auto"/>
              </w:rPr>
            </w:pPr>
          </w:p>
        </w:tc>
        <w:tc>
          <w:tcPr>
            <w:tcW w:w="15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CPR due to principal modification</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14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(78)</w:t>
            </w:r>
          </w:p>
        </w:tc>
      </w:tr>
      <w:tr>
        <w:trPr>
          <w:trHeight w:val="324"/>
        </w:trPr>
        <w:tc>
          <w:tcPr>
            <w:tcW w:w="4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number of residential assets serviced:</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2,223,916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2,426,944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156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228,076</w:t>
            </w:r>
          </w:p>
        </w:tc>
        <w:tc>
          <w:tcPr>
            <w:tcW w:w="1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386,905</w:t>
            </w:r>
          </w:p>
        </w:tc>
        <w:tc>
          <w:tcPr>
            <w:tcW w:w="14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(41)</w:t>
            </w:r>
          </w:p>
        </w:tc>
      </w:tr>
      <w:tr>
        <w:trPr>
          <w:trHeight w:val="297"/>
        </w:trPr>
        <w:tc>
          <w:tcPr>
            <w:tcW w:w="4960" w:type="dxa"/>
            <w:vAlign w:val="bottom"/>
            <w:tcBorders>
              <w:bottom w:val="single" w:sz="8" w:color="EAF9E8"/>
            </w:tcBorders>
          </w:tcPr>
          <w:p>
            <w:pPr>
              <w:spacing w:after="0"/>
              <w:rPr>
                <w:sz w:val="24"/>
                <w:szCs w:val="24"/>
                <w:color w:val="auto"/>
              </w:rPr>
            </w:pPr>
          </w:p>
        </w:tc>
        <w:tc>
          <w:tcPr>
            <w:tcW w:w="156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2,451,992</w:t>
            </w:r>
          </w:p>
        </w:tc>
        <w:tc>
          <w:tcPr>
            <w:tcW w:w="100" w:type="dxa"/>
            <w:vAlign w:val="bottom"/>
            <w:tcBorders>
              <w:bottom w:val="single" w:sz="8" w:color="EAF9E8"/>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2,813,849</w:t>
            </w:r>
          </w:p>
        </w:tc>
        <w:tc>
          <w:tcPr>
            <w:tcW w:w="14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4960" w:type="dxa"/>
            <w:vAlign w:val="bottom"/>
            <w:shd w:val="clear" w:color="auto" w:fill="EAF9E8"/>
          </w:tcPr>
          <w:p>
            <w:pPr>
              <w:spacing w:after="0"/>
              <w:rPr>
                <w:sz w:val="24"/>
                <w:szCs w:val="24"/>
                <w:color w:val="auto"/>
              </w:rPr>
            </w:pPr>
          </w:p>
        </w:tc>
        <w:tc>
          <w:tcPr>
            <w:tcW w:w="156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Residential Servicing and Subservicing Fees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servicing and subservicing fees:</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318,472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349,143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156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30,318</w:t>
            </w:r>
          </w:p>
        </w:tc>
        <w:tc>
          <w:tcPr>
            <w:tcW w:w="1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33,719</w:t>
            </w:r>
          </w:p>
        </w:tc>
        <w:tc>
          <w:tcPr>
            <w:tcW w:w="14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r>
      <w:tr>
        <w:trPr>
          <w:trHeight w:val="237"/>
        </w:trPr>
        <w:tc>
          <w:tcPr>
            <w:tcW w:w="4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348,790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382,862</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 fees</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35,176</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36,698</w:t>
            </w:r>
          </w:p>
        </w:tc>
        <w:tc>
          <w:tcPr>
            <w:tcW w:w="14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Late charges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24,015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36,681</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9,551</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8,281</w:t>
            </w:r>
          </w:p>
        </w:tc>
        <w:tc>
          <w:tcPr>
            <w:tcW w:w="14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15</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Custodial accounts (float earnings)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1,644</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24,551</w:t>
            </w:r>
          </w:p>
        </w:tc>
        <w:tc>
          <w:tcPr>
            <w:tcW w:w="1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20,346</w:t>
            </w:r>
          </w:p>
        </w:tc>
        <w:tc>
          <w:tcPr>
            <w:tcW w:w="14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21</w:t>
            </w:r>
          </w:p>
        </w:tc>
      </w:tr>
      <w:tr>
        <w:trPr>
          <w:trHeight w:val="297"/>
        </w:trPr>
        <w:tc>
          <w:tcPr>
            <w:tcW w:w="4960" w:type="dxa"/>
            <w:vAlign w:val="bottom"/>
            <w:tcBorders>
              <w:bottom w:val="single" w:sz="8" w:color="EAF9E8"/>
            </w:tcBorders>
          </w:tcPr>
          <w:p>
            <w:pPr>
              <w:spacing w:after="0"/>
              <w:rPr>
                <w:sz w:val="24"/>
                <w:szCs w:val="24"/>
                <w:color w:val="auto"/>
              </w:rPr>
            </w:pPr>
          </w:p>
        </w:tc>
        <w:tc>
          <w:tcPr>
            <w:tcW w:w="156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443,903</w:t>
            </w:r>
          </w:p>
        </w:tc>
        <w:tc>
          <w:tcPr>
            <w:tcW w:w="100" w:type="dxa"/>
            <w:vAlign w:val="bottom"/>
            <w:tcBorders>
              <w:bottom w:val="single" w:sz="8" w:color="EAF9E8"/>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486,512</w:t>
            </w:r>
          </w:p>
        </w:tc>
        <w:tc>
          <w:tcPr>
            <w:tcW w:w="14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4960" w:type="dxa"/>
            <w:vAlign w:val="bottom"/>
            <w:shd w:val="clear" w:color="auto" w:fill="EAF9E8"/>
          </w:tcPr>
          <w:p>
            <w:pPr>
              <w:spacing w:after="0"/>
              <w:rPr>
                <w:sz w:val="24"/>
                <w:szCs w:val="24"/>
                <w:color w:val="auto"/>
              </w:rPr>
            </w:pPr>
          </w:p>
        </w:tc>
        <w:tc>
          <w:tcPr>
            <w:tcW w:w="156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11,952</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11,049</w:t>
            </w:r>
          </w:p>
        </w:tc>
        <w:tc>
          <w:tcPr>
            <w:tcW w:w="14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Non-HAMP</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13,058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17,407</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r>
      <w:tr>
        <w:trPr>
          <w:trHeight w:val="27"/>
        </w:trPr>
        <w:tc>
          <w:tcPr>
            <w:tcW w:w="4960" w:type="dxa"/>
            <w:vAlign w:val="bottom"/>
            <w:tcBorders>
              <w:bottom w:val="single" w:sz="8" w:color="EAF9E8"/>
            </w:tcBorders>
          </w:tcPr>
          <w:p>
            <w:pPr>
              <w:spacing w:after="0"/>
              <w:rPr>
                <w:sz w:val="2"/>
                <w:szCs w:val="2"/>
                <w:color w:val="auto"/>
              </w:rPr>
            </w:pPr>
          </w:p>
        </w:tc>
        <w:tc>
          <w:tcPr>
            <w:tcW w:w="15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r>
      <w:tr>
        <w:trPr>
          <w:trHeight w:val="257"/>
        </w:trPr>
        <w:tc>
          <w:tcPr>
            <w:tcW w:w="4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8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25,010</w:t>
            </w:r>
          </w:p>
        </w:tc>
        <w:tc>
          <w:tcPr>
            <w:tcW w:w="100" w:type="dxa"/>
            <w:vAlign w:val="bottom"/>
            <w:tcBorders>
              <w:bottom w:val="single" w:sz="8" w:color="EAF9E8"/>
            </w:tcBorders>
            <w:shd w:val="clear" w:color="auto" w:fill="EAF9E8"/>
          </w:tcPr>
          <w:p>
            <w:pPr>
              <w:spacing w:after="0"/>
              <w:rPr>
                <w:sz w:val="22"/>
                <w:szCs w:val="22"/>
                <w:color w:val="auto"/>
              </w:rPr>
            </w:pPr>
          </w:p>
        </w:tc>
        <w:tc>
          <w:tcPr>
            <w:tcW w:w="40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28,456</w:t>
            </w:r>
          </w:p>
        </w:tc>
        <w:tc>
          <w:tcPr>
            <w:tcW w:w="14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 Total with principal modification</w:t>
            </w: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4960" w:type="dxa"/>
            <w:vAlign w:val="bottom"/>
            <w:shd w:val="clear" w:color="auto" w:fill="EAF9E8"/>
          </w:tcPr>
          <w:p>
            <w:pPr>
              <w:spacing w:after="0"/>
              <w:rPr>
                <w:sz w:val="24"/>
                <w:szCs w:val="24"/>
                <w:color w:val="auto"/>
              </w:rPr>
            </w:pPr>
          </w:p>
        </w:tc>
        <w:tc>
          <w:tcPr>
            <w:tcW w:w="156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Financing Costs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balance of advances and match funded advances</w:t>
            </w:r>
          </w:p>
        </w:tc>
        <w:tc>
          <w:tcPr>
            <w:tcW w:w="194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3,159,226</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3,493,474</w:t>
            </w:r>
          </w:p>
        </w:tc>
        <w:tc>
          <w:tcPr>
            <w:tcW w:w="14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Average borrowings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liabilities</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1,981,016</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2,251,931</w:t>
            </w:r>
          </w:p>
        </w:tc>
        <w:tc>
          <w:tcPr>
            <w:tcW w:w="14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Financing liabilities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808,039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710,453</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1,322,051</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1,325,562</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Interest expense on borrowings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liabilities</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14,280</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16,317</w:t>
            </w:r>
          </w:p>
        </w:tc>
        <w:tc>
          <w:tcPr>
            <w:tcW w:w="14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Financing liabilities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73,886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100,025</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20,277</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18,001</w:t>
            </w:r>
          </w:p>
        </w:tc>
        <w:tc>
          <w:tcPr>
            <w:tcW w:w="14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13</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Effective average interest rate</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liabilities</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2.90%</w:t>
            </w:r>
          </w:p>
        </w:tc>
        <w:tc>
          <w:tcPr>
            <w:tcW w:w="14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Financing liabilities (5)</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56.32%</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5.43%</w:t>
            </w:r>
          </w:p>
        </w:tc>
        <w:tc>
          <w:tcPr>
            <w:tcW w:w="14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13</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Facility costs included in interest expense</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4,303</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44</w:t>
            </w: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Discount amortization included in interest expense</w:t>
            </w:r>
          </w:p>
        </w:tc>
        <w:tc>
          <w:tcPr>
            <w:tcW w:w="156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330</w:t>
            </w:r>
          </w:p>
        </w:tc>
        <w:tc>
          <w:tcPr>
            <w:tcW w:w="14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Average 1-month LIBOR</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4960" w:type="dxa"/>
            <w:vAlign w:val="bottom"/>
            <w:shd w:val="clear" w:color="auto" w:fill="EAF9E8"/>
          </w:tcPr>
          <w:p>
            <w:pPr>
              <w:spacing w:after="0"/>
              <w:rPr>
                <w:sz w:val="24"/>
                <w:szCs w:val="24"/>
                <w:color w:val="auto"/>
              </w:rPr>
            </w:pPr>
          </w:p>
        </w:tc>
        <w:tc>
          <w:tcPr>
            <w:tcW w:w="156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r>
      <w:tr>
        <w:trPr>
          <w:trHeight w:val="459"/>
        </w:trPr>
        <w:tc>
          <w:tcPr>
            <w:tcW w:w="4960" w:type="dxa"/>
            <w:vAlign w:val="bottom"/>
          </w:tcPr>
          <w:p>
            <w:pPr>
              <w:spacing w:after="0"/>
              <w:rPr>
                <w:sz w:val="24"/>
                <w:szCs w:val="24"/>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India and other</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4,767</w:t>
            </w:r>
          </w:p>
        </w:tc>
        <w:tc>
          <w:tcPr>
            <w:tcW w:w="14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3"/>
        </w:trPr>
        <w:tc>
          <w:tcPr>
            <w:tcW w:w="6660" w:type="dxa"/>
            <w:vAlign w:val="bottom"/>
          </w:tcPr>
          <w:p>
            <w:pPr>
              <w:ind w:left="180"/>
              <w:spacing w:after="0"/>
              <w:rPr>
                <w:sz w:val="20"/>
                <w:szCs w:val="20"/>
                <w:color w:val="auto"/>
              </w:rPr>
            </w:pPr>
            <w:r>
              <w:rPr>
                <w:rFonts w:ascii="Arial" w:cs="Arial" w:eastAsia="Arial" w:hAnsi="Arial"/>
                <w:sz w:val="18"/>
                <w:szCs w:val="18"/>
                <w:color w:val="auto"/>
              </w:rPr>
              <w:t>U. 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2,744</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6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9,146</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7,511</w:t>
            </w:r>
          </w:p>
        </w:tc>
        <w:tc>
          <w:tcPr>
            <w:tcW w:w="14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6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18,563,992</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18,624,507</w:t>
            </w:r>
          </w:p>
        </w:tc>
        <w:tc>
          <w:tcPr>
            <w:tcW w:w="12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8"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702,948 and 786,900 subprime loans with a UPB of $117.1 billion and $135.6 billion at March 31, 2015 and March 31, 2014, respectively.</w:t>
      </w:r>
    </w:p>
    <w:p>
      <w:pPr>
        <w:spacing w:after="0" w:line="32" w:lineRule="exact"/>
        <w:rPr>
          <w:rFonts w:ascii="Arial" w:cs="Arial" w:eastAsia="Arial" w:hAnsi="Arial"/>
          <w:sz w:val="16"/>
          <w:szCs w:val="16"/>
          <w:color w:val="auto"/>
        </w:rPr>
      </w:pPr>
    </w:p>
    <w:p>
      <w:pPr>
        <w:ind w:left="500" w:right="120" w:hanging="492"/>
        <w:spacing w:after="0" w:line="250"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228,799 and 271,838 prime loans with a UPB of $46.6 billion and $59.8 billion at March 31, 2015 and March 31, 2014, respectively, that we service or subservice.</w:t>
      </w: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Freddie Mac loans serviced under special servicing agreements where we have no obligation to advance.</w:t>
      </w:r>
    </w:p>
    <w:p>
      <w:pPr>
        <w:spacing w:after="0" w:line="9" w:lineRule="exact"/>
        <w:rPr>
          <w:rFonts w:ascii="Arial" w:cs="Arial" w:eastAsia="Arial" w:hAnsi="Arial"/>
          <w:sz w:val="18"/>
          <w:szCs w:val="18"/>
          <w:color w:val="auto"/>
        </w:rPr>
      </w:pPr>
    </w:p>
    <w:p>
      <w:pPr>
        <w:ind w:left="500" w:right="220" w:hanging="492"/>
        <w:spacing w:after="0" w:line="261"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effective average interest rate on the financing liability that we recognized in connection with the sales of rights to MSRs to NRZ is 46.95% and 61.39% for the three months ended March 31, 2015 and 2014, respectively.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Amount of UPB</w:t>
            </w:r>
          </w:p>
        </w:tc>
        <w:tc>
          <w:tcPr>
            <w:tcW w:w="120" w:type="dxa"/>
            <w:vAlign w:val="bottom"/>
          </w:tcPr>
          <w:p>
            <w:pPr>
              <w:spacing w:after="0"/>
              <w:rPr>
                <w:sz w:val="20"/>
                <w:szCs w:val="20"/>
                <w:color w:val="auto"/>
              </w:rPr>
            </w:pPr>
          </w:p>
        </w:tc>
        <w:tc>
          <w:tcPr>
            <w:tcW w:w="1660" w:type="dxa"/>
            <w:vAlign w:val="bottom"/>
            <w:gridSpan w:val="3"/>
          </w:tcPr>
          <w:p>
            <w:pPr>
              <w:ind w:left="1060"/>
              <w:spacing w:after="0"/>
              <w:rPr>
                <w:sz w:val="20"/>
                <w:szCs w:val="20"/>
                <w:color w:val="auto"/>
              </w:rPr>
            </w:pPr>
            <w:r>
              <w:rPr>
                <w:rFonts w:ascii="Arial" w:cs="Arial" w:eastAsia="Arial" w:hAnsi="Arial"/>
                <w:sz w:val="18"/>
                <w:szCs w:val="18"/>
                <w:b w:val="1"/>
                <w:bCs w:val="1"/>
                <w:color w:val="auto"/>
              </w:rPr>
              <w:t>Count</w:t>
            </w:r>
          </w:p>
        </w:tc>
        <w:tc>
          <w:tcPr>
            <w:tcW w:w="9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3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56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398,727,727</w:t>
            </w:r>
          </w:p>
        </w:tc>
        <w:tc>
          <w:tcPr>
            <w:tcW w:w="120" w:type="dxa"/>
            <w:vAlign w:val="bottom"/>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464,651,332</w:t>
            </w:r>
          </w:p>
        </w:tc>
        <w:tc>
          <w:tcPr>
            <w:tcW w:w="120" w:type="dxa"/>
            <w:vAlign w:val="bottom"/>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2,486,038</w:t>
            </w:r>
          </w:p>
        </w:tc>
        <w:tc>
          <w:tcPr>
            <w:tcW w:w="100" w:type="dxa"/>
            <w:vAlign w:val="bottom"/>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2,861,918</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2,246,103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4,507,762</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10,864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28,972</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6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Sales (1)</w:t>
            </w:r>
          </w:p>
        </w:tc>
        <w:tc>
          <w:tcPr>
            <w:tcW w:w="30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9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6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4"/>
                <w:szCs w:val="24"/>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(3,267,861)</w:t>
            </w:r>
          </w:p>
        </w:tc>
        <w:tc>
          <w:tcPr>
            <w:tcW w:w="120" w:type="dxa"/>
            <w:vAlign w:val="bottom"/>
          </w:tcPr>
          <w:p>
            <w:pPr>
              <w:spacing w:after="0"/>
              <w:rPr>
                <w:sz w:val="24"/>
                <w:szCs w:val="24"/>
                <w:color w:val="auto"/>
              </w:rPr>
            </w:pPr>
          </w:p>
        </w:tc>
        <w:tc>
          <w:tcPr>
            <w:tcW w:w="280" w:type="dxa"/>
            <w:vAlign w:val="bottom"/>
            <w:tcBorders>
              <w:bottom w:val="single" w:sz="8" w:color="EAF9E8"/>
            </w:tcBorders>
            <w:shd w:val="clear" w:color="auto" w:fill="EAF9E8"/>
          </w:tcPr>
          <w:p>
            <w:pPr>
              <w:spacing w:after="0"/>
              <w:rPr>
                <w:sz w:val="24"/>
                <w:szCs w:val="24"/>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(6,001,718)</w:t>
            </w:r>
          </w:p>
        </w:tc>
        <w:tc>
          <w:tcPr>
            <w:tcW w:w="120" w:type="dxa"/>
            <w:vAlign w:val="bottom"/>
          </w:tcPr>
          <w:p>
            <w:pPr>
              <w:spacing w:after="0"/>
              <w:rPr>
                <w:sz w:val="24"/>
                <w:szCs w:val="24"/>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(27,980)</w:t>
            </w:r>
          </w:p>
        </w:tc>
        <w:tc>
          <w:tcPr>
            <w:tcW w:w="100" w:type="dxa"/>
            <w:vAlign w:val="bottom"/>
          </w:tcPr>
          <w:p>
            <w:pPr>
              <w:spacing w:after="0"/>
              <w:rPr>
                <w:sz w:val="24"/>
                <w:szCs w:val="24"/>
                <w:color w:val="auto"/>
              </w:rPr>
            </w:pPr>
          </w:p>
        </w:tc>
        <w:tc>
          <w:tcPr>
            <w:tcW w:w="320" w:type="dxa"/>
            <w:vAlign w:val="bottom"/>
            <w:tcBorders>
              <w:bottom w:val="single" w:sz="8" w:color="EAF9E8"/>
            </w:tcBorders>
            <w:shd w:val="clear" w:color="auto" w:fill="EAF9E8"/>
          </w:tcPr>
          <w:p>
            <w:pPr>
              <w:spacing w:after="0"/>
              <w:rPr>
                <w:sz w:val="24"/>
                <w:szCs w:val="24"/>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(51,907)</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(15,491,967)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(13,586,780)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(78,148)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(75,596)</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56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0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382,214,002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449,570,596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2,390,774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shd w:val="clear" w:color="auto" w:fill="EAF9E8"/>
          </w:tcPr>
          <w:p>
            <w:pPr>
              <w:spacing w:after="0"/>
              <w:rPr>
                <w:sz w:val="22"/>
                <w:szCs w:val="22"/>
                <w:color w:val="auto"/>
              </w:rPr>
            </w:pPr>
          </w:p>
        </w:tc>
        <w:tc>
          <w:tcPr>
            <w:tcW w:w="92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2,763,387</w:t>
            </w:r>
          </w:p>
        </w:tc>
      </w:tr>
      <w:tr>
        <w:trPr>
          <w:trHeight w:val="20"/>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42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March 31, 2015, we completed the sale of Agency MSRs on a portfolio consisting of 76,000 loans with a UPB of $9.1billion. We continued to subservice these loans until the servicing transfer was completed on April 16, 2015. See Note 8 – Mortgage Servicing to the unaudited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versus 2014</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Total residential servicing and subservicing fees for the first quarter of 2015 were $443.9 million, a 9% decrease as compared to the first quarter of 2014. This decline is primarily due to a 14% decline in the average UPB of assets serviced and a decline in total completed modifications. Annualized loan servicing and subservicing fees as a percentage of UPB increased to 0.36% of average UPB in the first quarter of 2015 as compared to 0.34% in the first quarter of 2014 as a result of an improvement in our delinquency rates. Overall, the non-performing delinquency rate based on UPB dropped from 14% at March 31, 2014 to 13% at March 31, 2015.</w:t>
      </w:r>
    </w:p>
    <w:p>
      <w:pPr>
        <w:spacing w:after="0" w:line="8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recognized servicing fee, late fee and HAMP fee revenue of $64.4 million and $70.1 million during the first quarter of 2015 and 2014, respectively, in connection with loan modifications.</w:t>
      </w:r>
    </w:p>
    <w:p>
      <w:pPr>
        <w:spacing w:after="0" w:line="62" w:lineRule="exact"/>
        <w:rPr>
          <w:sz w:val="20"/>
          <w:szCs w:val="20"/>
          <w:color w:val="auto"/>
        </w:rPr>
      </w:pPr>
    </w:p>
    <w:p>
      <w:pPr>
        <w:jc w:val="both"/>
        <w:ind w:right="100" w:firstLine="324"/>
        <w:spacing w:after="0" w:line="255" w:lineRule="auto"/>
        <w:rPr>
          <w:sz w:val="20"/>
          <w:szCs w:val="20"/>
          <w:color w:val="auto"/>
        </w:rPr>
      </w:pPr>
      <w:r>
        <w:rPr>
          <w:rFonts w:ascii="Arial" w:cs="Arial" w:eastAsia="Arial" w:hAnsi="Arial"/>
          <w:sz w:val="18"/>
          <w:szCs w:val="18"/>
          <w:color w:val="auto"/>
        </w:rPr>
        <w:t>We estimate the balance of deferred servicing fees related to delinquent borrower payments was $511.4 million at March 31, 2015 compared to $580.4 million at March 31, 2014. The net decrease is primarily due to collections and resolutions of delinquent loans through modification, payoff or through the sale of the underlying mortgaged property following foreclosure and reflects an improvement in our delinquency rates. We are required to remit all deferred servicing fees collected in connection with MSRs underlying the sales of rights to MSRs to NRZ. We are entitled to base servicing and performance fees that increase to the extent we collect deferred servicing fees. As such, the majority of the deferred servicing fees collected are recognized by us as revenue and a reduction of NRZ related interest expense.</w:t>
      </w:r>
    </w:p>
    <w:p>
      <w:pPr>
        <w:spacing w:after="0" w:line="8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Gain on loans held for sale, net includes $17.0 million and $21.2 million of gains on the sale of modified FHA and VA insured loans for first quarter of 2015 and 2014, respectively. These gains include $12.9 million and $7.2 million during the first quarter of 2015 and 2014 in connection with the sale of $42.7 million UPB of loans repurchased as a result of indemnification obligations and $549.4 million UPB Ginnie Mae EBO Loans,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2" w:right="239" w:bottom="1440" w:gutter="0" w:footer="0" w:header="0"/>
        </w:sectPr>
      </w:pPr>
    </w:p>
    <w:bookmarkStart w:id="61" w:name="page62"/>
    <w:bookmarkEnd w:id="61"/>
    <w:p>
      <w:pPr>
        <w:ind w:right="60" w:firstLine="324"/>
        <w:spacing w:after="0" w:line="308" w:lineRule="auto"/>
        <w:rPr>
          <w:sz w:val="20"/>
          <w:szCs w:val="20"/>
          <w:color w:val="auto"/>
        </w:rPr>
      </w:pPr>
      <w:r>
        <w:rPr>
          <w:rFonts w:ascii="Arial" w:cs="Arial" w:eastAsia="Arial" w:hAnsi="Arial"/>
          <w:sz w:val="17"/>
          <w:szCs w:val="17"/>
          <w:color w:val="auto"/>
        </w:rPr>
        <w:t>Expenses increased by $30.0 million in the first quarter of 2015, or 10%, as compared to the first quarter of 2014 primarily due to MSR valuation related impacts and higher professional services expenses offset, in part, by the benefits of the platform integration completed in 2014.</w:t>
      </w:r>
    </w:p>
    <w:p>
      <w:pPr>
        <w:spacing w:after="0" w:line="38" w:lineRule="exact"/>
        <w:rPr>
          <w:sz w:val="20"/>
          <w:szCs w:val="20"/>
          <w:color w:val="auto"/>
        </w:rPr>
      </w:pPr>
    </w:p>
    <w:p>
      <w:pPr>
        <w:ind w:left="660" w:hanging="328"/>
        <w:spacing w:after="0" w:line="267"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MSR valuation related impacts: On January 1, 2015, we elected to account for a newly-created class of non-Agency MSRs at fair value. This class is generally insensitive to changes in interest rates. As a result, this class is similar to the amount of amortization expense we would have otherwise recognized had we not elected fair value. Changes in our fair value Agency class are driven primarily by changes in interest rates. Runoff of our MSRs at fair value accounted for approximately $6.1 million and $3.2 million of expense and the change in fair value due to changes in interest rates and other assumptions were approximately $27.1 million and $2.0 million of expense in the first quarter of 2015 and 2014, respectively. We recognized an impairment charge of $17.8 million in the first quarter of 2015 on our government-insured stratum of amortization method MSRs due to a decline in fair value below carrying value. This decline was driven by changes in FHA and VA insurance rates and a decline in interest rates, both of which resulted in decreases in the estimated fair value of this MSR stratum.</w:t>
      </w:r>
    </w:p>
    <w:p>
      <w:pPr>
        <w:spacing w:after="0" w:line="3" w:lineRule="exact"/>
        <w:rPr>
          <w:rFonts w:ascii="Arial" w:cs="Arial" w:eastAsia="Arial" w:hAnsi="Arial"/>
          <w:sz w:val="17"/>
          <w:szCs w:val="17"/>
          <w:color w:val="auto"/>
        </w:rPr>
      </w:pPr>
    </w:p>
    <w:p>
      <w:pPr>
        <w:ind w:left="660" w:right="30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Professional Services: Professional services expense, both direct and indirect through overhead allocations, increased by $20.7 million and $33.9 million, respectively, due to higher legal, risk, compliance and audit costs.</w:t>
      </w:r>
    </w:p>
    <w:p>
      <w:pPr>
        <w:ind w:left="660" w:right="28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Platform Integration: We completed the transition of loans to the REALServicing® platform in October 2014 and have made significant progress integrating our servicing operations. In the first quarter of 2015, we are beginning to realize the benefits on the integration. Compensation and benefits decreased by $10.9 million, primarily as a result of platform integration that reduced the average U.S. based headcount by 21%, offset in part by a 46% increase in average India based and other headcount.</w:t>
      </w:r>
    </w:p>
    <w:p>
      <w:pPr>
        <w:spacing w:after="0" w:line="1" w:lineRule="exact"/>
        <w:rPr>
          <w:rFonts w:ascii="Arial" w:cs="Arial" w:eastAsia="Arial" w:hAnsi="Arial"/>
          <w:sz w:val="18"/>
          <w:szCs w:val="18"/>
          <w:color w:val="auto"/>
        </w:rPr>
      </w:pPr>
    </w:p>
    <w:p>
      <w:pPr>
        <w:ind w:left="660" w:right="44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Charge-offs and provisions in connection with non-recoverable advances and receivables decreased $17.2 million million and servicing-related outsourcing expenses declined $7.6 million.</w:t>
      </w:r>
    </w:p>
    <w:p>
      <w:pPr>
        <w:spacing w:after="0" w:line="184"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Interest expense declined by $25.8 million, or 19%, in the first quarter of 2015 due principally to a $27.6 million decrease in interest on the NRZ financing liabilities as the average outstanding balance declined by 6%. Interest expense on the NRZ financing liability was higher in the first quarter of 2014 as a result of an increase in the fair value of the underlying MSRs as a result of market driven changes in certain assumptions, including the estimated cost to finance advances. The cumulative effect of these assumption updates was an increase in the fair value of the NRZ financing liability, which is recorded as interest expense. There were no changes in fair value in the first quarter of 2015 related to assumption updates.</w:t>
      </w:r>
    </w:p>
    <w:p>
      <w:pPr>
        <w:spacing w:after="0" w:line="6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Other income for the first quarter of 2015 includes a gain of $26.9 million recognized on the sale of a $9.1 billion portfolio of Agency MSRs on March 31, 2015.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originate and purchase conventional and government-insured forward mortgage loans through our Homeward lending operations. Loans are acquired through three primary channels: correspondent lender relationships, broker relationships and directly with mortgage customers. Per-loan gross and net margin varies by channel, with correspondent typically being the lowest and direct the highest. After origination, we package and sell the loans in the secondary mortgage market, through GSE securitizations and whole loan transactions. We typically retain the associated MSRs as a low cost means to acquire MSRs with good return profiles. Lending revenues include interest income earned for the period the loans are on our balance sheet, gain on sale income representing the difference between the origination value and the sale value of the loan, and fee income earned at origination.</w:t>
      </w:r>
    </w:p>
    <w:p>
      <w:pPr>
        <w:spacing w:after="0" w:line="16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Reverse mortgages are originated and purchased through our Liberty lending operations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 We have originated variable rate HECM loans under which the borrowers have additional borrowing capacity of $685.0 million at March 31, 2015. These draws are funded by the servicer and can be subsequently securitized or sold (Future Value). We do not incur any substantive underwriting, marketing or compensation costs in connection with these future draws. We recognize this Future Value over time as future draws are securitized or sold. At March 31, 2015, Future Value is estimated to be $55.6 million. We use a third-party valuation expert to determine Future Value based on the net present value of the estimated future cash flows of the loans and utilizing a discount rate of 12% and projected performance assumptions in line with historical experience and industry benchmarks.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692" w:right="25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The UPB of our loan production, by channel,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Wholesale</w:t>
            </w:r>
          </w:p>
        </w:tc>
        <w:tc>
          <w:tcPr>
            <w:tcW w:w="34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Direct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March 31, 2015</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373,783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305,068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241,634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920,485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50,395</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98,350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43,072</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191,817</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424,178</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403,418</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284,706</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1,112,302</w:t>
            </w:r>
          </w:p>
        </w:tc>
      </w:tr>
      <w:tr>
        <w:trPr>
          <w:trHeight w:val="311"/>
        </w:trPr>
        <w:tc>
          <w:tcPr>
            <w:tcW w:w="47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March 31, 2014</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690,655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151,565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298,476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1,140,696</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45,586</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77,515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40,144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163,245</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736,241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229,080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338,620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1,303,941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for the three months ended March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Forward loans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20,258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17,294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Reverse loans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9,152</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5,482</w:t>
            </w:r>
          </w:p>
        </w:tc>
        <w:tc>
          <w:tcPr>
            <w:tcW w:w="14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29,410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22,776</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8,336</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5,991</w:t>
            </w:r>
          </w:p>
        </w:tc>
        <w:tc>
          <w:tcPr>
            <w:tcW w:w="14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69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37,746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28,767</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9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36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13,246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16,972</w:t>
            </w:r>
          </w:p>
        </w:tc>
        <w:tc>
          <w:tcPr>
            <w:tcW w:w="14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5,296</w:t>
            </w:r>
          </w:p>
        </w:tc>
        <w:tc>
          <w:tcPr>
            <w:tcW w:w="14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992</w:t>
            </w:r>
          </w:p>
        </w:tc>
        <w:tc>
          <w:tcPr>
            <w:tcW w:w="14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1,589</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5,969</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5,259</w:t>
            </w:r>
          </w:p>
        </w:tc>
        <w:tc>
          <w:tcPr>
            <w:tcW w:w="14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690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23,785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31,464</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9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9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4,009</w:t>
            </w:r>
          </w:p>
        </w:tc>
        <w:tc>
          <w:tcPr>
            <w:tcW w:w="14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(3,451)</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debt redemption</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2,253</w:t>
            </w:r>
          </w:p>
        </w:tc>
        <w:tc>
          <w:tcPr>
            <w:tcW w:w="14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69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3,276</w:t>
            </w:r>
          </w:p>
        </w:tc>
        <w:tc>
          <w:tcPr>
            <w:tcW w:w="14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69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15,983</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versus 2014</w:t>
      </w:r>
    </w:p>
    <w:p>
      <w:pPr>
        <w:spacing w:after="0" w:line="229"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In the first quarter of 2015, Homeward forward lending revenues increased by $2.3 million, or 11%, from first quarter of 2014 levels to a total of $24.4 million. This increase occurred despite a decline in mortgage originations to $920.5 million, which was $220.2 million, or 19%, less than originations in the first quarter of 2014. Forward lending operations, in the first quarter of 2015, generated $14.7 million of pre-tax income, which was an increase of $7.8 million, or 113%, from first quarter of 2014 earnings. This improvement occurred in part due to a shift in channel business mix from the lower margin</w:t>
      </w:r>
    </w:p>
    <w:p>
      <w:pPr>
        <w:sectPr>
          <w:pgSz w:w="11900" w:h="16838" w:orient="portrait"/>
          <w:cols w:equalWidth="0" w:num="1">
            <w:col w:w="11420"/>
          </w:cols>
          <w:pgMar w:left="240" w:top="692"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692" w:right="239" w:bottom="1440" w:gutter="0" w:footer="0" w:header="0"/>
          <w:type w:val="continuous"/>
        </w:sectPr>
      </w:pPr>
    </w:p>
    <w:bookmarkStart w:id="63" w:name="page64"/>
    <w:bookmarkEnd w:id="63"/>
    <w:p>
      <w:pPr>
        <w:ind w:right="40"/>
        <w:spacing w:after="0" w:line="264" w:lineRule="auto"/>
        <w:rPr>
          <w:sz w:val="20"/>
          <w:szCs w:val="20"/>
          <w:color w:val="auto"/>
        </w:rPr>
      </w:pPr>
      <w:r>
        <w:rPr>
          <w:rFonts w:ascii="Arial" w:cs="Arial" w:eastAsia="Arial" w:hAnsi="Arial"/>
          <w:sz w:val="18"/>
          <w:szCs w:val="18"/>
          <w:color w:val="auto"/>
        </w:rPr>
        <w:t>correspondent channel to the higher margin direct channel, which has resulted in better margin rates. Forward lending expenses of $11.3 million represented a decrease of $7.1 million, or 38%, from first quarter of 2014, principally because of declines in compensation and benefit expenses related to reduced headcount as well as lower vendor loan expenses related to lower funded volumes in the correspondent channel.</w:t>
      </w:r>
    </w:p>
    <w:p>
      <w:pPr>
        <w:spacing w:after="0" w:line="18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the first quarter of 2015, Liberty reverse lending revenues of $13.3 million increased by $6.6 million, or 99%, and funded reverse mortgage volume of $191.8 million increased $28.6 million, or 18%, from the first quarter of 2014. Reverse lending operations generated pre-tax income of $1.2 million as compared to a pre-tax loss of $6.3 million in the first quarter of 2014. Aggressive cost reduction efforts and higher margins have contributed to the improvement in earnings. The HECM program changes instituted by HUD in 2013 resulted in the reverse mortgage market shifting from one that consisted primarily of fixed rate products to one where variable rate products predominated, which resulted in a consequent decrease in volumes and a lower loan size at origination for the industry and for Liberty. The lower day one loan size in turn resulted in a lower gain on sale when the loans were securitized. Over time, however, the loan balances on these variable rate loans should increase through subsequent draws by the borrowers. As these additional draws are securitized, we expect to recognize additional gain on sale at a minimal incremental cost.</w:t>
      </w:r>
    </w:p>
    <w:p>
      <w:pPr>
        <w:spacing w:after="0" w:line="17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Expenses related to the Homeward and Liberty platforms are driven largely by production volume, with direct acquisition costs offset by origination fee income that is included in Other revenue.</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 The decrease in new forward lending production drove the declines in interest income and expense.</w:t>
      </w:r>
    </w:p>
    <w:p>
      <w:pPr>
        <w:spacing w:after="0" w:line="18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part of forward lending, we have, from time to time, sold MSRs for certain forward loans that may qualify for refinancing under the HARP program to an unrelated third party. We account for these transactions as secured financings. We recognize gains on the retirement of the related financing liabilities upon repurchase of those MSRs related to loans that were successfully refinanced. During the first quarter of 2014, we recognized gains of $2.3 million on the retirement of the related financing liabilities upon repurchase of MSRs related to loans that were successfully refinanced through HARP.</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Corporate Items and Other includes revenues and expenses that are not directly related to other reportable segments, business activities that are individually insignificant, interest income on short-term investments of cash, interest expense on unsecured corporate debt and certain corporate expenses. Our cash balances are included in Corporate Items and Other.</w:t>
      </w:r>
    </w:p>
    <w:p>
      <w:pPr>
        <w:spacing w:after="0" w:line="73"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Business activities that are not considered to be of continuing significance include subprime non-Agency loans held for sale (at lower of cost or fair value), investments in mortgage-backed securities, affordable housing investment activities and investments in unconsolidated entities.</w:t>
      </w:r>
    </w:p>
    <w:p>
      <w:pPr>
        <w:spacing w:after="0" w:line="3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Operating expenses incurred by corporate support services are also allocated to the Servicing and Lending segments.</w:t>
      </w:r>
    </w:p>
    <w:p>
      <w:pPr>
        <w:spacing w:after="0" w:line="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three months ended March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1,711</w:t>
            </w:r>
          </w:p>
        </w:tc>
      </w:tr>
      <w:tr>
        <w:trPr>
          <w:trHeight w:val="223"/>
        </w:trPr>
        <w:tc>
          <w:tcPr>
            <w:tcW w:w="8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16,697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9,837</w:t>
            </w:r>
          </w:p>
        </w:tc>
      </w:tr>
      <w:tr>
        <w:trPr>
          <w:trHeight w:val="264"/>
        </w:trPr>
        <w:tc>
          <w:tcPr>
            <w:tcW w:w="83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2,627</w:t>
            </w:r>
          </w:p>
        </w:tc>
      </w:tr>
      <w:tr>
        <w:trPr>
          <w:trHeight w:val="318"/>
        </w:trPr>
        <w:tc>
          <w:tcPr>
            <w:tcW w:w="8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(19,876)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(5,499)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80" w:firstLine="324"/>
        <w:spacing w:after="0" w:line="281" w:lineRule="auto"/>
        <w:rPr>
          <w:sz w:val="20"/>
          <w:szCs w:val="20"/>
          <w:color w:val="auto"/>
        </w:rPr>
      </w:pPr>
      <w:r>
        <w:rPr>
          <w:rFonts w:ascii="Arial" w:cs="Arial" w:eastAsia="Arial" w:hAnsi="Arial"/>
          <w:sz w:val="17"/>
          <w:szCs w:val="17"/>
          <w:b w:val="1"/>
          <w:bCs w:val="1"/>
          <w:color w:val="auto"/>
        </w:rPr>
        <w:t xml:space="preserve">Three Months Ended March 31, 2015 versus 2014. </w:t>
      </w:r>
      <w:r>
        <w:rPr>
          <w:rFonts w:ascii="Arial" w:cs="Arial" w:eastAsia="Arial" w:hAnsi="Arial"/>
          <w:sz w:val="17"/>
          <w:szCs w:val="17"/>
          <w:color w:val="auto"/>
        </w:rPr>
        <w:t>Operating expenses increased by $6.9 million primarily as a result of costs to maintain the legacy</w:t>
      </w:r>
      <w:r>
        <w:rPr>
          <w:rFonts w:ascii="Arial" w:cs="Arial" w:eastAsia="Arial" w:hAnsi="Arial"/>
          <w:sz w:val="17"/>
          <w:szCs w:val="17"/>
          <w:b w:val="1"/>
          <w:bCs w:val="1"/>
          <w:color w:val="auto"/>
        </w:rPr>
        <w:t xml:space="preserve"> </w:t>
      </w:r>
      <w:r>
        <w:rPr>
          <w:rFonts w:ascii="Arial" w:cs="Arial" w:eastAsia="Arial" w:hAnsi="Arial"/>
          <w:sz w:val="17"/>
          <w:szCs w:val="17"/>
          <w:color w:val="auto"/>
        </w:rPr>
        <w:t>ResCap servicing platform for post-integration audit and compliance purposes of $3.4 million. In addition, we incurred certain non-recurring regulatory monitoring costs, which have not been allocated to the business segments. Other income (expense), net for the three months ended March 31, 2015 includes $6.1 million of interest expense on the $350.0 million Senior Unsecured Notes that we issued on May 12, 2014.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9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120" w:firstLine="324"/>
        <w:spacing w:after="0" w:line="303"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At March 31, 2015, our cash position was $242.3 million compared to $129.5 million at December 31, 2014. We invest cash that is in excess</w:t>
      </w:r>
      <w:r>
        <w:rPr>
          <w:rFonts w:ascii="Arial" w:cs="Arial" w:eastAsia="Arial" w:hAnsi="Arial"/>
          <w:sz w:val="16"/>
          <w:szCs w:val="16"/>
          <w:b w:val="1"/>
          <w:bCs w:val="1"/>
          <w:color w:val="auto"/>
        </w:rPr>
        <w:t xml:space="preserve"> </w:t>
      </w:r>
      <w:r>
        <w:rPr>
          <w:rFonts w:ascii="Arial" w:cs="Arial" w:eastAsia="Arial" w:hAnsi="Arial"/>
          <w:sz w:val="16"/>
          <w:szCs w:val="16"/>
          <w:color w:val="auto"/>
        </w:rPr>
        <w:t>of our immediate operating needs primarily in money market deposit accounts. Our priorities for deployment of excess cash are: (1) supporting our core servicing and lending businesses, (2) remaining safe and secure by ensuring successful refinancing of our maturing servicing advance financing facilities and/or reducing corporate leverage, and (3) expanding into similar or complimentary businesses that meet our return on capital requirements.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sales of MSRs and related advances;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sales of originated loans and repurchased loans.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ability to finance servicing advances is a significant factor that affects our liquidity. Our use of advance financing facilities is integral to our servicing advance financing strategy. Consistent with industry practice, our advance funding facilities have a 364-day term and the revolving periods for all of our advance funding facilities end in 2015. Similarly, all of our master repurchase and participation agreements for financing new loan originations have 364-day terms and mature in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Advances and match funded advances comprised 38% of total assets at March 31, 2015. Our borrowings under our advance funding facilities are secured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pledges of servicing advances. Maximum borrowing capacity for match funded advances at March 31, 2015 decreased by $100.0 million from $2.4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2014 to $2.3 billion at March 31, 2015, because of our voluntary termination of a $50.0 million facility in January 2015 and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$50.0 million reduction in the capacity under another facility in February 2015. Our unused advance borrowing capacity decreased by $10.4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$324.3 million at March 31, 2015 principally because of a decrease in borrowing, as total advances and match funded advances declined by $107.9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quarter. Our ability to continue to pledge collateral under each advance financing facility depends on the performance of the collateral.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2015, $324.3 million of the total maximum borrowing capacity under our servicing advance financing facilities of $2.3 billion remained available.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none of the available capacity could be used based on the amount of available collateral.</w:t>
      </w:r>
    </w:p>
    <w:p>
      <w:pPr>
        <w:spacing w:after="0" w:line="211"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We use mortgage loan warehouse facilities to fund newly originated loans on a short-term basis until they are sold to secondary market investors, including GSEs or other third-party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At March 31, 2015, $19.5 million of the borrowing capacity extended on a committed basis was available under our lending warehouse facilities, including our warehouse facilities for reverse mortgages. An additional $522.5 million of borrowing capacity was available on an uncommitted basis at the discretion of the lenders. See Note 11 – Borrowings to the unaudited Consolidated Financial Statements for additional details.</w:t>
      </w:r>
    </w:p>
    <w:p>
      <w:pPr>
        <w:spacing w:after="0" w:line="16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or, in the case of mortgage backed securities guaranteed by Ginnie Mae, are mortgage loans insured or guaranteed by the FHA or VA.</w:t>
      </w:r>
    </w:p>
    <w:p>
      <w:pPr>
        <w:spacing w:after="0" w:line="147"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noncompliance with our covenants, nonpayment of principal or interest, material misrepresentations, the occurrence of a material adverse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90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outstanding obligations, enforcement of liens against the assets securing or otherwise supporting our obligations, and other legal remedies.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Funding of originated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w:t>
      </w:r>
    </w:p>
    <w:p>
      <w:pPr>
        <w:spacing w:after="0" w:line="103"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Under the terms of our SSTL facility agreement we are required to use 75% of the net cash proceeds from certain permitted asset sales (which generally include our announced Agency MSR sales) to prepay the SSTL. Subject to certain conditions, we may be able to reinvest up to 25% of such net cash proceeds within 120 days of receipt thereof (subject to an extension of up to 90 days if a binding agreement is entered into within such 120 days).</w:t>
      </w:r>
    </w:p>
    <w:p>
      <w:pPr>
        <w:spacing w:after="0" w:line="14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On October 31, 2013, we announced that our board of directors had authorized a share repurchase program for an aggregate of up to $500.0 million of our issued and outstanding shares of common stock. As of March 31, 2015, the approximate remaining value of shares that may be repurchased under the plan was $129.7 million. On February 5, 2015, we announced that we have suspended this stock repurchase program. We may restart the stock repurchase program in the future, and unless we amend the share repurchase program or repurchase the full $500.0 million amount by an earlier date, the share repurchase program will continue through July 2016. During the three months ended March 31, 2015, we did not repurchase any shares of common stock under this program.</w:t>
      </w:r>
    </w:p>
    <w:p>
      <w:pPr>
        <w:spacing w:after="0" w:line="257"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b w:val="1"/>
          <w:bCs w:val="1"/>
          <w:color w:val="auto"/>
        </w:rPr>
        <w:t xml:space="preserve">Outlook. </w:t>
      </w:r>
      <w:r>
        <w:rPr>
          <w:rFonts w:ascii="Arial" w:cs="Arial" w:eastAsia="Arial" w:hAnsi="Arial"/>
          <w:sz w:val="18"/>
          <w:szCs w:val="18"/>
          <w:color w:val="auto"/>
        </w:rPr>
        <w:t>We closely monitor our liquidity position and ongoing funding requirements, and we regularly monitor and project cash flow by period to</w:t>
      </w:r>
      <w:r>
        <w:rPr>
          <w:rFonts w:ascii="Arial" w:cs="Arial" w:eastAsia="Arial" w:hAnsi="Arial"/>
          <w:sz w:val="18"/>
          <w:szCs w:val="18"/>
          <w:b w:val="1"/>
          <w:bCs w:val="1"/>
          <w:color w:val="auto"/>
        </w:rPr>
        <w:t xml:space="preserve"> </w:t>
      </w:r>
      <w:r>
        <w:rPr>
          <w:rFonts w:ascii="Arial" w:cs="Arial" w:eastAsia="Arial" w:hAnsi="Arial"/>
          <w:sz w:val="18"/>
          <w:szCs w:val="18"/>
          <w:color w:val="auto"/>
        </w:rPr>
        <w:t>minimize liquidity risk.</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four measures:</w:t>
      </w:r>
    </w:p>
    <w:p>
      <w:pPr>
        <w:spacing w:after="0" w:line="11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Projected future sales of MSRs and servicing advances;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114"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We have considered the impact of financial projections on our liquidity analysis and have evaluated the appropriateness of the key assumptions in our forecast such as revenues, costs and sales of MSRs and other assets. We have analyzed our cash requirements and financial obligations. Based upon these evaluations and analyses, we believe that we have ample liquidity to meet our obligations through 2015.</w:t>
      </w:r>
    </w:p>
    <w:p>
      <w:pPr>
        <w:spacing w:after="0" w:line="166"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Our advance funding facilities have a 364-day term and the revolving periods for all of our advance funding facilities end in 2015. At March 31, 2015, we had $2.0 billion outstanding under these facilities. In the event we are unable to renew, replace or extend one or more of these advance funding facilities, repayment of the outstanding balance must begin at the end of the respective 364-day revolving period. Similarly, all of our warehouse lines for financing new loan originations have 364-day terms and mature in 2015. At March 31, 2015, we had $2.0 billion outstanding under these financing arrangements. We currently expect that we will be able to renew, replace or extend all of these debt agreements consistent with our historical experience. We anticipate that as we renew, replace or extend our various facilities throughout 2015, we will incur substantially increased ongoing interest costs. We have already entered into commitment letters to refinance certain of our debt agreements and extended certain facilities ahead of their scheduled maturity. Our lenders’ obligations to fund under these commitment letters are subject to conditions precedent, some of which are outside our control.</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remain actively engaged with our lenders, and recent financing developments include the following:</w:t>
      </w:r>
    </w:p>
    <w:p>
      <w:pPr>
        <w:spacing w:after="0" w:line="11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April 17, 2015, we received a commitment for $125.0 million of additional mortgage loan financing with a maturity of April 30,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April 16, 2015, we negotiated an increase in the capacity of an existing warehouse line from $50.0 million to $100.0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On April 16, 2015, we agreed to a reduction of $37.5 million in the uncommitted borrowing capacity under one of our existing warehouse lines.</w:t>
      </w:r>
    </w:p>
    <w:p>
      <w:pPr>
        <w:spacing w:after="0" w:line="114"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Many aspects of our liquidity forecast process require the use of judgment and estimates on the part of management and include factors that may be beyond our control. Additionally our actual results could differ materially from our estimates. If our results fall below our expectations, we may take additional actions that would be outside the normal course of our operations to generate additional liquidity. These actions may include, but are not limited to:</w:t>
      </w:r>
    </w:p>
    <w:p>
      <w:pPr>
        <w:ind w:right="400" w:firstLine="8"/>
        <w:spacing w:after="0" w:line="261"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reducing our ongoing operating expenses, including employee headcount, (2) raising additional capital by issuing debt or equity, or (3) selling certain assets, operations or</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6" w:name="page67"/>
    <w:bookmarkEnd w:id="66"/>
    <w:p>
      <w:pPr>
        <w:ind w:right="200"/>
        <w:spacing w:after="0" w:line="286" w:lineRule="auto"/>
        <w:rPr>
          <w:sz w:val="20"/>
          <w:szCs w:val="20"/>
          <w:color w:val="auto"/>
        </w:rPr>
      </w:pPr>
      <w:r>
        <w:rPr>
          <w:rFonts w:ascii="Arial" w:cs="Arial" w:eastAsia="Arial" w:hAnsi="Arial"/>
          <w:sz w:val="17"/>
          <w:szCs w:val="17"/>
          <w:color w:val="auto"/>
        </w:rPr>
        <w:t>subsidiaries. Challenges to our liquidity position could have a material adverse effect on our operating results and financial condition. In 2015, we have engaged financial and legal advisors to advise us regarding potential adjustments to our capital structure, as appropriate, and to help us explore our strategic options, and we expect to incur significant professional services expenses in 2015 in connection with these initiatives.</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Arial" w:cs="Arial" w:eastAsia="Arial" w:hAnsi="Arial"/>
          <w:sz w:val="18"/>
          <w:szCs w:val="18"/>
          <w:b w:val="1"/>
          <w:bCs w:val="1"/>
          <w:color w:val="auto"/>
        </w:rPr>
        <w:t xml:space="preserve">Credit Ratings. </w:t>
      </w:r>
      <w:r>
        <w:rPr>
          <w:rFonts w:ascii="Arial" w:cs="Arial" w:eastAsia="Arial" w:hAnsi="Arial"/>
          <w:sz w:val="18"/>
          <w:szCs w:val="18"/>
          <w:color w:val="auto"/>
        </w:rPr>
        <w:t>Credit ratings are intended to be an indicator of the creditworthiness of a particular company, security or obligation. Lower ratings result</w:t>
      </w:r>
      <w:r>
        <w:rPr>
          <w:rFonts w:ascii="Arial" w:cs="Arial" w:eastAsia="Arial" w:hAnsi="Arial"/>
          <w:sz w:val="18"/>
          <w:szCs w:val="18"/>
          <w:b w:val="1"/>
          <w:bCs w:val="1"/>
          <w:color w:val="auto"/>
        </w:rPr>
        <w:t xml:space="preserve"> </w:t>
      </w:r>
      <w:r>
        <w:rPr>
          <w:rFonts w:ascii="Arial" w:cs="Arial" w:eastAsia="Arial" w:hAnsi="Arial"/>
          <w:sz w:val="18"/>
          <w:szCs w:val="18"/>
          <w:color w:val="auto"/>
        </w:rPr>
        <w:t>in higher borrowing costs and reduced access to capital markets. The following table summarizes our current ratings and outlook by the respective nationally recognized rating agencies.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Rating Agency</w:t>
            </w: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Short-term</w:t>
            </w:r>
          </w:p>
        </w:tc>
        <w:tc>
          <w:tcPr>
            <w:tcW w:w="168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Long-term</w:t>
            </w:r>
          </w:p>
        </w:tc>
        <w:tc>
          <w:tcPr>
            <w:tcW w:w="4120" w:type="dxa"/>
            <w:vAlign w:val="bottom"/>
            <w:gridSpan w:val="2"/>
          </w:tcPr>
          <w:p>
            <w:pPr>
              <w:ind w:left="300"/>
              <w:spacing w:after="0"/>
              <w:rPr>
                <w:sz w:val="20"/>
                <w:szCs w:val="20"/>
                <w:color w:val="auto"/>
              </w:rPr>
            </w:pPr>
            <w:r>
              <w:rPr>
                <w:rFonts w:ascii="Arial" w:cs="Arial" w:eastAsia="Arial" w:hAnsi="Arial"/>
                <w:sz w:val="18"/>
                <w:szCs w:val="18"/>
                <w:b w:val="1"/>
                <w:bCs w:val="1"/>
                <w:color w:val="auto"/>
                <w:w w:val="90"/>
              </w:rPr>
              <w:t>Senior Unsecured Notes Review Status / Outlook</w:t>
            </w:r>
          </w:p>
        </w:tc>
        <w:tc>
          <w:tcPr>
            <w:tcW w:w="1940" w:type="dxa"/>
            <w:vAlign w:val="bottom"/>
          </w:tcPr>
          <w:p>
            <w:pPr>
              <w:ind w:left="280"/>
              <w:spacing w:after="0"/>
              <w:rPr>
                <w:sz w:val="20"/>
                <w:szCs w:val="20"/>
                <w:color w:val="auto"/>
              </w:rPr>
            </w:pPr>
            <w:r>
              <w:rPr>
                <w:rFonts w:ascii="Arial" w:cs="Arial" w:eastAsia="Arial" w:hAnsi="Arial"/>
                <w:sz w:val="18"/>
                <w:szCs w:val="18"/>
                <w:b w:val="1"/>
                <w:bCs w:val="1"/>
                <w:color w:val="auto"/>
              </w:rPr>
              <w:t>Date of last action</w:t>
            </w:r>
          </w:p>
        </w:tc>
      </w:tr>
      <w:tr>
        <w:trPr>
          <w:trHeight w:val="27"/>
        </w:trPr>
        <w:tc>
          <w:tcPr>
            <w:tcW w:w="1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Moody’s</w:t>
            </w:r>
          </w:p>
        </w:tc>
        <w:tc>
          <w:tcPr>
            <w:tcW w:w="1820" w:type="dxa"/>
            <w:vAlign w:val="bottom"/>
            <w:tcBorders>
              <w:bottom w:val="single" w:sz="8" w:color="EAF9E8"/>
            </w:tcBorders>
            <w:shd w:val="clear" w:color="auto" w:fill="EAF9E8"/>
          </w:tcPr>
          <w:p>
            <w:pPr>
              <w:jc w:val="center"/>
              <w:ind w:right="50"/>
              <w:spacing w:after="0"/>
              <w:rPr>
                <w:sz w:val="20"/>
                <w:szCs w:val="20"/>
                <w:color w:val="auto"/>
              </w:rPr>
            </w:pPr>
            <w:r>
              <w:rPr>
                <w:rFonts w:ascii="Arial" w:cs="Arial" w:eastAsia="Arial" w:hAnsi="Arial"/>
                <w:sz w:val="18"/>
                <w:szCs w:val="18"/>
                <w:color w:val="auto"/>
                <w:w w:val="79"/>
              </w:rPr>
              <w:t>na</w:t>
            </w:r>
          </w:p>
        </w:tc>
        <w:tc>
          <w:tcPr>
            <w:tcW w:w="1680" w:type="dxa"/>
            <w:vAlign w:val="bottom"/>
            <w:tcBorders>
              <w:bottom w:val="single" w:sz="8" w:color="EAF9E8"/>
            </w:tcBorders>
            <w:shd w:val="clear" w:color="auto" w:fill="EAF9E8"/>
          </w:tcPr>
          <w:p>
            <w:pPr>
              <w:jc w:val="center"/>
              <w:ind w:left="170"/>
              <w:spacing w:after="0"/>
              <w:rPr>
                <w:sz w:val="20"/>
                <w:szCs w:val="20"/>
                <w:color w:val="auto"/>
              </w:rPr>
            </w:pPr>
            <w:r>
              <w:rPr>
                <w:rFonts w:ascii="Arial" w:cs="Arial" w:eastAsia="Arial" w:hAnsi="Arial"/>
                <w:sz w:val="18"/>
                <w:szCs w:val="18"/>
                <w:color w:val="auto"/>
                <w:w w:val="99"/>
              </w:rPr>
              <w:t>B3</w:t>
            </w:r>
          </w:p>
        </w:tc>
        <w:tc>
          <w:tcPr>
            <w:tcW w:w="1900" w:type="dxa"/>
            <w:vAlign w:val="bottom"/>
            <w:tcBorders>
              <w:bottom w:val="single" w:sz="8" w:color="EAF9E8"/>
            </w:tcBorders>
            <w:shd w:val="clear" w:color="auto" w:fill="EAF9E8"/>
          </w:tcPr>
          <w:p>
            <w:pPr>
              <w:jc w:val="center"/>
              <w:ind w:left="470"/>
              <w:spacing w:after="0"/>
              <w:rPr>
                <w:sz w:val="20"/>
                <w:szCs w:val="20"/>
                <w:color w:val="auto"/>
              </w:rPr>
            </w:pPr>
            <w:r>
              <w:rPr>
                <w:rFonts w:ascii="Arial" w:cs="Arial" w:eastAsia="Arial" w:hAnsi="Arial"/>
                <w:sz w:val="18"/>
                <w:szCs w:val="18"/>
                <w:color w:val="auto"/>
                <w:w w:val="91"/>
              </w:rPr>
              <w:t>Caal</w:t>
            </w:r>
          </w:p>
        </w:tc>
        <w:tc>
          <w:tcPr>
            <w:tcW w:w="2220" w:type="dxa"/>
            <w:vAlign w:val="bottom"/>
            <w:tcBorders>
              <w:bottom w:val="single" w:sz="8" w:color="EAF9E8"/>
            </w:tcBorders>
            <w:shd w:val="clear" w:color="auto" w:fill="EAF9E8"/>
          </w:tcPr>
          <w:p>
            <w:pPr>
              <w:jc w:val="center"/>
              <w:ind w:left="210"/>
              <w:spacing w:after="0"/>
              <w:rPr>
                <w:sz w:val="20"/>
                <w:szCs w:val="20"/>
                <w:color w:val="auto"/>
              </w:rPr>
            </w:pPr>
            <w:r>
              <w:rPr>
                <w:rFonts w:ascii="Arial" w:cs="Arial" w:eastAsia="Arial" w:hAnsi="Arial"/>
                <w:sz w:val="18"/>
                <w:szCs w:val="18"/>
                <w:color w:val="auto"/>
                <w:w w:val="90"/>
              </w:rPr>
              <w:t>Negative</w:t>
            </w:r>
          </w:p>
        </w:tc>
        <w:tc>
          <w:tcPr>
            <w:tcW w:w="19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January 27, 2015</w:t>
            </w:r>
          </w:p>
        </w:tc>
      </w:tr>
      <w:tr>
        <w:trPr>
          <w:trHeight w:val="243"/>
        </w:trPr>
        <w:tc>
          <w:tcPr>
            <w:tcW w:w="1840" w:type="dxa"/>
            <w:vAlign w:val="bottom"/>
          </w:tcPr>
          <w:p>
            <w:pPr>
              <w:ind w:left="20"/>
              <w:spacing w:after="0"/>
              <w:rPr>
                <w:sz w:val="20"/>
                <w:szCs w:val="20"/>
                <w:color w:val="auto"/>
              </w:rPr>
            </w:pPr>
            <w:r>
              <w:rPr>
                <w:rFonts w:ascii="Arial" w:cs="Arial" w:eastAsia="Arial" w:hAnsi="Arial"/>
                <w:sz w:val="18"/>
                <w:szCs w:val="18"/>
                <w:color w:val="auto"/>
              </w:rPr>
              <w:t>S&amp;P</w:t>
            </w: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79"/>
              </w:rPr>
              <w:t>na</w:t>
            </w:r>
          </w:p>
        </w:tc>
        <w:tc>
          <w:tcPr>
            <w:tcW w:w="1680" w:type="dxa"/>
            <w:vAlign w:val="bottom"/>
          </w:tcPr>
          <w:p>
            <w:pPr>
              <w:jc w:val="center"/>
              <w:ind w:left="150"/>
              <w:spacing w:after="0"/>
              <w:rPr>
                <w:sz w:val="20"/>
                <w:szCs w:val="20"/>
                <w:color w:val="auto"/>
              </w:rPr>
            </w:pPr>
            <w:r>
              <w:rPr>
                <w:rFonts w:ascii="Arial" w:cs="Arial" w:eastAsia="Arial" w:hAnsi="Arial"/>
                <w:sz w:val="18"/>
                <w:szCs w:val="18"/>
                <w:color w:val="auto"/>
                <w:w w:val="99"/>
              </w:rPr>
              <w:t>B</w:t>
            </w:r>
          </w:p>
        </w:tc>
        <w:tc>
          <w:tcPr>
            <w:tcW w:w="1900" w:type="dxa"/>
            <w:vAlign w:val="bottom"/>
          </w:tcPr>
          <w:p>
            <w:pPr>
              <w:jc w:val="center"/>
              <w:ind w:left="470"/>
              <w:spacing w:after="0"/>
              <w:rPr>
                <w:sz w:val="20"/>
                <w:szCs w:val="20"/>
                <w:color w:val="auto"/>
              </w:rPr>
            </w:pPr>
            <w:r>
              <w:rPr>
                <w:rFonts w:ascii="Arial" w:cs="Arial" w:eastAsia="Arial" w:hAnsi="Arial"/>
                <w:sz w:val="18"/>
                <w:szCs w:val="18"/>
                <w:color w:val="auto"/>
                <w:w w:val="92"/>
              </w:rPr>
              <w:t>CCC+</w:t>
            </w:r>
          </w:p>
        </w:tc>
        <w:tc>
          <w:tcPr>
            <w:tcW w:w="2220" w:type="dxa"/>
            <w:vAlign w:val="bottom"/>
          </w:tcPr>
          <w:p>
            <w:pPr>
              <w:jc w:val="center"/>
              <w:ind w:left="210"/>
              <w:spacing w:after="0"/>
              <w:rPr>
                <w:sz w:val="20"/>
                <w:szCs w:val="20"/>
                <w:color w:val="auto"/>
              </w:rPr>
            </w:pPr>
            <w:r>
              <w:rPr>
                <w:rFonts w:ascii="Arial" w:cs="Arial" w:eastAsia="Arial" w:hAnsi="Arial"/>
                <w:sz w:val="18"/>
                <w:szCs w:val="18"/>
                <w:color w:val="auto"/>
                <w:w w:val="91"/>
              </w:rPr>
              <w:t>Credit Watch Negative</w:t>
            </w:r>
          </w:p>
        </w:tc>
        <w:tc>
          <w:tcPr>
            <w:tcW w:w="1940" w:type="dxa"/>
            <w:vAlign w:val="bottom"/>
          </w:tcPr>
          <w:p>
            <w:pPr>
              <w:ind w:left="20"/>
              <w:spacing w:after="0"/>
              <w:rPr>
                <w:sz w:val="20"/>
                <w:szCs w:val="20"/>
                <w:color w:val="auto"/>
              </w:rPr>
            </w:pPr>
            <w:r>
              <w:rPr>
                <w:rFonts w:ascii="Arial" w:cs="Arial" w:eastAsia="Arial" w:hAnsi="Arial"/>
                <w:sz w:val="18"/>
                <w:szCs w:val="18"/>
                <w:color w:val="auto"/>
              </w:rPr>
              <w:t>April 21, 2015</w:t>
            </w:r>
          </w:p>
        </w:tc>
      </w:tr>
      <w:tr>
        <w:trPr>
          <w:trHeight w:val="27"/>
        </w:trPr>
        <w:tc>
          <w:tcPr>
            <w:tcW w:w="1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1840" w:type="dxa"/>
            <w:vAlign w:val="bottom"/>
            <w:shd w:val="clear" w:color="auto" w:fill="EAF9E8"/>
          </w:tcPr>
          <w:p>
            <w:pPr>
              <w:ind w:left="20"/>
              <w:spacing w:after="0"/>
              <w:rPr>
                <w:sz w:val="20"/>
                <w:szCs w:val="20"/>
                <w:color w:val="auto"/>
              </w:rPr>
            </w:pPr>
            <w:r>
              <w:rPr>
                <w:rFonts w:ascii="Arial" w:cs="Arial" w:eastAsia="Arial" w:hAnsi="Arial"/>
                <w:sz w:val="18"/>
                <w:szCs w:val="18"/>
                <w:color w:val="auto"/>
              </w:rPr>
              <w:t>Fitch</w:t>
            </w:r>
          </w:p>
        </w:tc>
        <w:tc>
          <w:tcPr>
            <w:tcW w:w="1820" w:type="dxa"/>
            <w:vAlign w:val="bottom"/>
            <w:shd w:val="clear" w:color="auto" w:fill="EAF9E8"/>
          </w:tcPr>
          <w:p>
            <w:pPr>
              <w:jc w:val="center"/>
              <w:ind w:right="50"/>
              <w:spacing w:after="0"/>
              <w:rPr>
                <w:sz w:val="20"/>
                <w:szCs w:val="20"/>
                <w:color w:val="auto"/>
              </w:rPr>
            </w:pPr>
            <w:r>
              <w:rPr>
                <w:rFonts w:ascii="Arial" w:cs="Arial" w:eastAsia="Arial" w:hAnsi="Arial"/>
                <w:sz w:val="18"/>
                <w:szCs w:val="18"/>
                <w:color w:val="auto"/>
                <w:w w:val="99"/>
              </w:rPr>
              <w:t>B</w:t>
            </w:r>
          </w:p>
        </w:tc>
        <w:tc>
          <w:tcPr>
            <w:tcW w:w="1680" w:type="dxa"/>
            <w:vAlign w:val="bottom"/>
            <w:shd w:val="clear" w:color="auto" w:fill="EAF9E8"/>
          </w:tcPr>
          <w:p>
            <w:pPr>
              <w:jc w:val="center"/>
              <w:ind w:left="170"/>
              <w:spacing w:after="0"/>
              <w:rPr>
                <w:sz w:val="20"/>
                <w:szCs w:val="20"/>
                <w:color w:val="auto"/>
              </w:rPr>
            </w:pPr>
            <w:r>
              <w:rPr>
                <w:rFonts w:ascii="Arial" w:cs="Arial" w:eastAsia="Arial" w:hAnsi="Arial"/>
                <w:sz w:val="18"/>
                <w:szCs w:val="18"/>
                <w:color w:val="auto"/>
                <w:w w:val="99"/>
              </w:rPr>
              <w:t>B-</w:t>
            </w:r>
          </w:p>
        </w:tc>
        <w:tc>
          <w:tcPr>
            <w:tcW w:w="1900" w:type="dxa"/>
            <w:vAlign w:val="bottom"/>
            <w:shd w:val="clear" w:color="auto" w:fill="EAF9E8"/>
          </w:tcPr>
          <w:p>
            <w:pPr>
              <w:jc w:val="center"/>
              <w:ind w:left="450"/>
              <w:spacing w:after="0"/>
              <w:rPr>
                <w:sz w:val="20"/>
                <w:szCs w:val="20"/>
                <w:color w:val="auto"/>
              </w:rPr>
            </w:pPr>
            <w:r>
              <w:rPr>
                <w:rFonts w:ascii="Arial" w:cs="Arial" w:eastAsia="Arial" w:hAnsi="Arial"/>
                <w:sz w:val="18"/>
                <w:szCs w:val="18"/>
                <w:color w:val="auto"/>
                <w:w w:val="92"/>
              </w:rPr>
              <w:t>CC</w:t>
            </w:r>
          </w:p>
        </w:tc>
        <w:tc>
          <w:tcPr>
            <w:tcW w:w="2220" w:type="dxa"/>
            <w:vAlign w:val="bottom"/>
            <w:shd w:val="clear" w:color="auto" w:fill="EAF9E8"/>
          </w:tcPr>
          <w:p>
            <w:pPr>
              <w:jc w:val="center"/>
              <w:ind w:left="210"/>
              <w:spacing w:after="0"/>
              <w:rPr>
                <w:sz w:val="20"/>
                <w:szCs w:val="20"/>
                <w:color w:val="auto"/>
              </w:rPr>
            </w:pPr>
            <w:r>
              <w:rPr>
                <w:rFonts w:ascii="Arial" w:cs="Arial" w:eastAsia="Arial" w:hAnsi="Arial"/>
                <w:sz w:val="18"/>
                <w:szCs w:val="18"/>
                <w:color w:val="auto"/>
                <w:w w:val="90"/>
              </w:rPr>
              <w:t>Negative</w:t>
            </w:r>
          </w:p>
        </w:tc>
        <w:tc>
          <w:tcPr>
            <w:tcW w:w="1940" w:type="dxa"/>
            <w:vAlign w:val="bottom"/>
            <w:shd w:val="clear" w:color="auto" w:fill="EAF9E8"/>
          </w:tcPr>
          <w:p>
            <w:pPr>
              <w:ind w:left="20"/>
              <w:spacing w:after="0"/>
              <w:rPr>
                <w:sz w:val="20"/>
                <w:szCs w:val="20"/>
                <w:color w:val="auto"/>
              </w:rPr>
            </w:pPr>
            <w:r>
              <w:rPr>
                <w:rFonts w:ascii="Arial" w:cs="Arial" w:eastAsia="Arial" w:hAnsi="Arial"/>
                <w:sz w:val="18"/>
                <w:szCs w:val="18"/>
                <w:color w:val="auto"/>
              </w:rPr>
              <w:t>December 23, 2014</w:t>
            </w:r>
          </w:p>
        </w:tc>
      </w:tr>
      <w:tr>
        <w:trPr>
          <w:trHeight w:val="27"/>
        </w:trPr>
        <w:tc>
          <w:tcPr>
            <w:tcW w:w="184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900" w:type="dxa"/>
            <w:vAlign w:val="bottom"/>
            <w:shd w:val="clear" w:color="auto" w:fill="EAF9E8"/>
          </w:tcPr>
          <w:p>
            <w:pPr>
              <w:spacing w:after="0"/>
              <w:rPr>
                <w:sz w:val="2"/>
                <w:szCs w:val="2"/>
                <w:color w:val="auto"/>
              </w:rPr>
            </w:pPr>
          </w:p>
        </w:tc>
        <w:tc>
          <w:tcPr>
            <w:tcW w:w="2220" w:type="dxa"/>
            <w:vAlign w:val="bottom"/>
            <w:shd w:val="clear" w:color="auto" w:fill="EAF9E8"/>
          </w:tcPr>
          <w:p>
            <w:pPr>
              <w:spacing w:after="0"/>
              <w:rPr>
                <w:sz w:val="2"/>
                <w:szCs w:val="2"/>
                <w:color w:val="auto"/>
              </w:rPr>
            </w:pPr>
          </w:p>
        </w:tc>
        <w:tc>
          <w:tcPr>
            <w:tcW w:w="194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As indicated above, a number of our credit ratings have recently been lowered. The credit rating agencies have generally cited uncertainty regarding the impact of the regulatory scrutiny and possible regulatory actions against us as the primary basis for their actions. At this time, we do not believe that such actions have had a material impact on our liquidity or funding position. It is possible that additional actions by credit rating agencies could have a material adverse impact on our liquidity and funding position, including materially changing the terms on which we may be able to borrow money.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operating cash flow is primarily impacted by the level of new loan production and timing of sales and securitizations of forward mortgage loans and changes in our servicing advance balances. To the extent we sell MSRs related to delinquent loans, we accelerate the recovery of the related advances. We also receive any outstanding deferred servicing fees.</w:t>
      </w:r>
    </w:p>
    <w:p>
      <w:pPr>
        <w:spacing w:after="0" w:line="69"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color w:val="auto"/>
        </w:rPr>
        <w:t xml:space="preserve">Cash flows for the three months ended March 31, 2015. </w:t>
      </w:r>
      <w:r>
        <w:rPr>
          <w:rFonts w:ascii="Arial" w:cs="Arial" w:eastAsia="Arial" w:hAnsi="Arial"/>
          <w:sz w:val="18"/>
          <w:szCs w:val="18"/>
          <w:color w:val="auto"/>
        </w:rPr>
        <w:t>Our operating activities provided $325.0 million of cash largely due to net income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for MSR amortization and valuation-related losses and other non-cash items, $104.3 million of net collections of servicing advances and $106.1 million of net proceeds from sales and collections of loans held for sale.</w:t>
      </w:r>
    </w:p>
    <w:p>
      <w:pPr>
        <w:spacing w:after="0" w:line="7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investing activities used $164.8 million of cash. Investing activities include cash outflows in connection with our reverse mortgage originations of $235.3 million. Cash inflows for the first quarter of 2015 include the receipt of $49.5 million of the $95.6 million proceeds from the sale of Agency MSRs on March 31, 2015, and $26.2 million of collections on reverse mortgages.</w:t>
      </w:r>
    </w:p>
    <w:p>
      <w:pPr>
        <w:spacing w:after="0" w:line="73"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financing activities used $47.4 million of cash. Cash outflows were primarily comprised of $89.6 million of net repayments on match funded liabilities from net advance recoveries, $77.1 million of repayments on the SSTL, including a $73.8 million prepayment in connection with MSR sales, and a $55.5 million net reduction in borrowings under mortgage warehouse facilities used to fund originated forward loans, which declined during the period. Cash outflows for the first quarter of 2015 also include $12.6 million of costs incurred in connection with amendments to the SSTL. These cash outflows were offset in large part by $238.6 million received in connection with our reverse mortgage securitizations, which are accounted for as secured financings.</w:t>
      </w:r>
    </w:p>
    <w:p>
      <w:pPr>
        <w:spacing w:after="0" w:line="46"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b w:val="1"/>
          <w:bCs w:val="1"/>
          <w:color w:val="auto"/>
        </w:rPr>
        <w:t xml:space="preserve">Cash flows for the three months ended March 31, 2014. </w:t>
      </w:r>
      <w:r>
        <w:rPr>
          <w:rFonts w:ascii="Arial" w:cs="Arial" w:eastAsia="Arial" w:hAnsi="Arial"/>
          <w:sz w:val="18"/>
          <w:szCs w:val="18"/>
          <w:color w:val="auto"/>
        </w:rPr>
        <w:t>Our operating activities provided $195.8 million of cash largely due to net income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for MSR amortization and other non-cash items, $13.4 million of collections of servicing advances, and $36.6 million of net proceeds from sales and collections of loans held for sale.</w:t>
      </w:r>
    </w:p>
    <w:p>
      <w:pPr>
        <w:spacing w:after="0" w:line="72"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Our investing activities used $378.2 million of cash. Investing activities include cash outflows in connection with our reverse mortgage originations of $176.7 million. In addition, we paid $152.7 million in connection with asset and business acquisitions completed during the first quarter of 2014 and $60.5 million to purchase advances in connection with the Ginnie Mae EBO Transaction.</w:t>
      </w:r>
    </w:p>
    <w:p>
      <w:pPr>
        <w:spacing w:after="0" w:line="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financing activities provided $246.3 million of cash. Cash provided by our financing activities includes $226.6 million in connection with our reverse mortgage securitizations accounted for as secured financings. Financing activities also include cash received in connection with the $123.6 million OASIS transaction involving the sale of Freddie Mac MSRs, which we accounted for as a financing. In addition, we received $55.7 million of proceeds from the sale of advances to NRZ acquired in connection with the Ginnie Mae EBO Transaction. These cash inflows were partially offset by a net reduction in borrowings under mortgage warehouse facilities used to fund originated forward loans as sales exceeded originations during the quarter. Also, we completed the repurchase of 60,000 shares of common stock under the stock repurchase program we announced in October 2013, paying $2.3 million in connection with these repurchases.</w:t>
      </w:r>
    </w:p>
    <w:p>
      <w:pPr>
        <w:spacing w:after="0" w:line="77" w:lineRule="exact"/>
        <w:rPr>
          <w:sz w:val="20"/>
          <w:szCs w:val="20"/>
          <w:color w:val="auto"/>
        </w:rPr>
      </w:pPr>
    </w:p>
    <w:p>
      <w:pPr>
        <w:ind w:right="468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right="40" w:firstLine="324"/>
        <w:spacing w:after="0" w:line="31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At March 31, 2015, such contractual obligations were primarily comprised of secured and unsecured borrowings, interest payments, operating leases and commitments to originate or purchase loans. There were no significant changes to our contractual obligations during the three months ended March 31,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7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13 – Derivative Financial Instruments and Hedging Activities to the unaudited Consolidated Financial Statements for additional information.</w:t>
      </w:r>
    </w:p>
    <w:p>
      <w:pPr>
        <w:spacing w:after="0" w:line="73"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We consolidate the servicing advance financing SPEs. The holders of the debt of these SPEs can look only to the assets of the SPEs for satisfaction of the debt and have no recourse against Ocwen. See Note 2 – Securitizations and Variable Interest Entities to the unaudited Consolidated Financial Statements for additional information.</w:t>
      </w:r>
    </w:p>
    <w:p>
      <w:pPr>
        <w:spacing w:after="0" w:line="79"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i w:val="1"/>
          <w:iCs w:val="1"/>
          <w:color w:val="auto"/>
        </w:rPr>
        <w:t>VIEs</w:t>
      </w:r>
      <w:r>
        <w:rPr>
          <w:rFonts w:ascii="Arial" w:cs="Arial" w:eastAsia="Arial" w:hAnsi="Arial"/>
          <w:sz w:val="16"/>
          <w:szCs w:val="16"/>
          <w:color w:val="auto"/>
        </w:rPr>
        <w:t>. If we determine that we are the primary beneficiary of a VIE, we include the VIE in our consolidated financial statements. We have interests in</w:t>
      </w:r>
      <w:r>
        <w:rPr>
          <w:rFonts w:ascii="Arial" w:cs="Arial" w:eastAsia="Arial" w:hAnsi="Arial"/>
          <w:sz w:val="16"/>
          <w:szCs w:val="16"/>
          <w:i w:val="1"/>
          <w:iCs w:val="1"/>
          <w:color w:val="auto"/>
        </w:rPr>
        <w:t xml:space="preserve"> </w:t>
      </w:r>
      <w:r>
        <w:rPr>
          <w:rFonts w:ascii="Arial" w:cs="Arial" w:eastAsia="Arial" w:hAnsi="Arial"/>
          <w:sz w:val="16"/>
          <w:szCs w:val="16"/>
          <w:color w:val="auto"/>
        </w:rPr>
        <w:t>VIEs that we do not consolidate because we have determined that we are not the primary beneficiary of the VIEs. In addition, we have transferred forward</w:t>
      </w:r>
    </w:p>
    <w:p>
      <w:pPr>
        <w:sectPr>
          <w:pgSz w:w="11900" w:h="16838" w:orient="portrait"/>
          <w:cols w:equalWidth="0" w:num="1">
            <w:col w:w="11420"/>
          </w:cols>
          <w:pgMar w:left="240" w:top="692" w:right="239" w:bottom="0" w:gutter="0" w:footer="0" w:header="0"/>
        </w:sectPr>
      </w:pPr>
    </w:p>
    <w:bookmarkStart w:id="67" w:name="page68"/>
    <w:bookmarkEnd w:id="67"/>
    <w:p>
      <w:pPr>
        <w:spacing w:after="0" w:line="264" w:lineRule="auto"/>
        <w:rPr>
          <w:sz w:val="20"/>
          <w:szCs w:val="20"/>
          <w:color w:val="auto"/>
        </w:rPr>
      </w:pPr>
      <w:r>
        <w:rPr>
          <w:rFonts w:ascii="Arial" w:cs="Arial" w:eastAsia="Arial" w:hAnsi="Arial"/>
          <w:sz w:val="18"/>
          <w:szCs w:val="18"/>
          <w:color w:val="auto"/>
        </w:rPr>
        <w:t>and reverse mortgage loans in transactions accounted for as sales or as secured borrowings for which we retain the obligation for servicing and for standard representations and warranties on the loans. See Note 2 – Securitizations and Variable Interest Entities to the unaudited Consolidated Financial Statements for additional information.</w:t>
      </w:r>
    </w:p>
    <w:p>
      <w:pPr>
        <w:spacing w:after="0" w:line="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 xml:space="preserve">Mortgage Loan Repurchase and Indemnification Liabilities. </w:t>
      </w:r>
      <w:r>
        <w:rPr>
          <w:rFonts w:ascii="Arial" w:cs="Arial" w:eastAsia="Arial" w:hAnsi="Arial"/>
          <w:sz w:val="18"/>
          <w:szCs w:val="18"/>
          <w:color w:val="auto"/>
        </w:rPr>
        <w:t>We have exposure to representation, warranty and indemnification obligations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as a loan originator and servicer. See Note 2 – Securitizations and Variable Interest Entities, Note 12 – Other Liabilities and Note 20 – Contingencies to the unaudited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 (Dollars in thousands, except per share amounts and unless otherwise indicated)</w:t>
      </w:r>
    </w:p>
    <w:p>
      <w:pPr>
        <w:spacing w:after="0" w:line="13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with the Audit Committee of the Board of Directors. Our significant accounting policies and critical accounting estimates are disclosed in our Annual Report on Form 10-K for the year ended December 31, 2014 in Note 1B to the Consolidated Financial Statements and in Management’s Discussion and Analysis of Financial Condition and Results of Operations under “Critical Accounting Policies and Estimates.”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Effective January 1, 2015, we elected fair value accounting for a newly-created class of non-Agency MSRs, which were previously accounted for using the amortization method. This irrevocable election applies to all subsequently acquired or 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and carrying value of the non-Agency MSRs for which the fair value election was made was $195.3 billion and $787.1 million, respectively.</w:t>
      </w:r>
    </w:p>
    <w:p>
      <w:pPr>
        <w:spacing w:after="0" w:line="64"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During the first quarter of 2015, we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8" w:name="page69"/>
    <w:bookmarkEnd w:id="68"/>
    <w:p>
      <w:pPr>
        <w:ind w:right="140"/>
        <w:spacing w:after="0" w:line="276" w:lineRule="auto"/>
        <w:rPr>
          <w:sz w:val="20"/>
          <w:szCs w:val="20"/>
          <w:color w:val="auto"/>
        </w:rPr>
      </w:pPr>
      <w:r>
        <w:rPr>
          <w:rFonts w:ascii="Arial" w:cs="Arial" w:eastAsia="Arial" w:hAnsi="Arial"/>
          <w:sz w:val="17"/>
          <w:szCs w:val="17"/>
          <w:color w:val="auto"/>
        </w:rPr>
        <w:t>recognized a $17.8 million impairment charge on our government-insured MSRs, as the fair value for this stratum was less than its carrying value. This impairment was primarily due to the FHA reducing the mortgage insurance premium rate by 50 basis points during the quarter, which created a significantly lower interest rate for existing FHA borrowers and in turn, generated higher projected prepayment speed and shorter asset life inputs used to value these MSRs. The impairment charge is recognized in Servicing and origination expense in the unaudited Consolidated Statements of Operations. The carrying value of this stratum at March 31, 2015 was $127.1 million, net of the valuation allowance of $17.8 million.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assets and liabilities measured at fair value on a recurring and nonrecurring basis and the amounts measured using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inputs at the dates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2015</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2014</w:t>
            </w:r>
          </w:p>
        </w:tc>
      </w:tr>
      <w:tr>
        <w:trPr>
          <w:trHeight w:val="27"/>
        </w:trPr>
        <w:tc>
          <w:tcPr>
            <w:tcW w:w="6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407,997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488,612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32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1,808,141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1,550,141</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 recurring basis</w:t>
            </w:r>
          </w:p>
        </w:tc>
        <w:tc>
          <w:tcPr>
            <w:tcW w:w="320" w:type="dxa"/>
            <w:vAlign w:val="bottom"/>
            <w:tcBorders>
              <w:bottom w:val="single" w:sz="8" w:color="EAF9E8"/>
            </w:tcBorders>
            <w:shd w:val="clear" w:color="auto" w:fill="EAF9E8"/>
          </w:tcPr>
          <w:p>
            <w:pPr>
              <w:spacing w:after="0"/>
              <w:rPr>
                <w:sz w:val="21"/>
                <w:szCs w:val="21"/>
                <w:color w:val="auto"/>
              </w:rPr>
            </w:pPr>
          </w:p>
        </w:tc>
        <w:tc>
          <w:tcPr>
            <w:tcW w:w="19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897,797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93,901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MSRs- non recurring basis (1)</w:t>
            </w:r>
          </w:p>
        </w:tc>
        <w:tc>
          <w:tcPr>
            <w:tcW w:w="32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127,052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EAF9E8"/>
            </w:tcBorders>
            <w:shd w:val="clear" w:color="auto" w:fill="EAF9E8"/>
          </w:tcPr>
          <w:p>
            <w:pPr>
              <w:spacing w:after="0"/>
              <w:rPr>
                <w:sz w:val="21"/>
                <w:szCs w:val="21"/>
                <w:color w:val="auto"/>
              </w:rPr>
            </w:pPr>
          </w:p>
        </w:tc>
        <w:tc>
          <w:tcPr>
            <w:tcW w:w="19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9,719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6,632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7,701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7,335</w:t>
            </w:r>
          </w:p>
        </w:tc>
      </w:tr>
      <w:tr>
        <w:trPr>
          <w:trHeight w:val="27"/>
        </w:trPr>
        <w:tc>
          <w:tcPr>
            <w:tcW w:w="6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3,258,407</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2,146,621</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total assets</w:t>
            </w: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2,296,892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2,058,693</w:t>
            </w:r>
          </w:p>
        </w:tc>
      </w:tr>
      <w:tr>
        <w:trPr>
          <w:trHeight w:val="270"/>
        </w:trPr>
        <w:tc>
          <w:tcPr>
            <w:tcW w:w="686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3"/>
                <w:szCs w:val="23"/>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5,249</w:t>
            </w:r>
          </w:p>
        </w:tc>
        <w:tc>
          <w:tcPr>
            <w:tcW w:w="120" w:type="dxa"/>
            <w:vAlign w:val="bottom"/>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2,854</w:t>
            </w:r>
          </w:p>
        </w:tc>
      </w:tr>
      <w:tr>
        <w:trPr>
          <w:trHeight w:val="257"/>
        </w:trPr>
        <w:tc>
          <w:tcPr>
            <w:tcW w:w="6860" w:type="dxa"/>
            <w:vAlign w:val="bottom"/>
            <w:tcBorders>
              <w:top w:val="single" w:sz="8" w:color="EAF9E8"/>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top w:val="single" w:sz="8" w:color="auto"/>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2,302,141</w:t>
            </w:r>
          </w:p>
        </w:tc>
        <w:tc>
          <w:tcPr>
            <w:tcW w:w="120" w:type="dxa"/>
            <w:vAlign w:val="bottom"/>
            <w:tcBorders>
              <w:top w:val="single" w:sz="8" w:color="EAF9E8"/>
              <w:bottom w:val="single" w:sz="8" w:color="EAF9E8"/>
            </w:tcBorders>
            <w:shd w:val="clear" w:color="auto" w:fill="EAF9E8"/>
          </w:tcPr>
          <w:p>
            <w:pPr>
              <w:spacing w:after="0"/>
              <w:rPr>
                <w:sz w:val="22"/>
                <w:szCs w:val="22"/>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2,061,547</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total liabilities</w:t>
            </w: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2,782,331</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1,739,436</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2,296,892</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2,058,693</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21" w:lineRule="exact"/>
        <w:rPr>
          <w:sz w:val="20"/>
          <w:szCs w:val="20"/>
          <w:color w:val="auto"/>
        </w:rPr>
      </w:pPr>
    </w:p>
    <w:p>
      <w:pPr>
        <w:ind w:left="340" w:right="16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balance at March 31, 2015 represents our impaired government-insured stratum of amortization method MSRs which is measured at fair value on a non-recurring basis. The $127.1 million carrying value of this stratum is net of a valuation allowance of $17.8 million.</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Assets at fair value using Level 3 inputs increased during the three months ended March 31, 2015 primarily due to our election on January 1, 2015 to account for a newly-created class of non-Agency MSRs at fair value. Reverse mortgage originations also contributed to the increase in Level 3 assets at fair value.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offsetting changes in the value of the related secured financing.</w:t>
      </w:r>
    </w:p>
    <w:p>
      <w:pPr>
        <w:spacing w:after="0" w:line="85" w:lineRule="exact"/>
        <w:rPr>
          <w:sz w:val="20"/>
          <w:szCs w:val="20"/>
          <w:color w:val="auto"/>
        </w:rPr>
      </w:pPr>
    </w:p>
    <w:p>
      <w:pPr>
        <w:ind w:left="60" w:right="60" w:firstLine="324"/>
        <w:spacing w:after="0" w:line="308" w:lineRule="auto"/>
        <w:rPr>
          <w:sz w:val="20"/>
          <w:szCs w:val="20"/>
          <w:color w:val="auto"/>
        </w:rPr>
      </w:pPr>
      <w:r>
        <w:rPr>
          <w:rFonts w:ascii="Arial" w:cs="Arial" w:eastAsia="Arial" w:hAnsi="Arial"/>
          <w:sz w:val="17"/>
          <w:szCs w:val="17"/>
          <w:color w:val="auto"/>
        </w:rPr>
        <w:t>Refer to Note 3 – Fair Value to the unaudited Consolidated Financial Statements for descriptions of valuation methodologies used to measure significant assets and liabilities at fair value and details of the valuation models, key inputs to those models, and significant assumptions utilized.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Listed below are new accounting pronouncements that we adopted on January 1, 2015. None of these pronouncements had a material impact on our unaudited Consolidated Financial Statements.</w:t>
      </w:r>
    </w:p>
    <w:p>
      <w:pPr>
        <w:spacing w:after="0" w:line="6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Investments—Equity Method and Joint Ventures: Accounting for Investments in Qualified Affordable Housing Projects (ASU 2014-01)</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Receivables—Troubled Debt Restructurings by Creditors: Reclassification of Residential Real Estate Collateralized Consumer Mortgage Loans upon Foreclosure (ASU 2014-04)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9" w:name="page70"/>
    <w:bookmarkEnd w:id="69"/>
    <w:p>
      <w:pPr>
        <w:ind w:left="660" w:right="5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Presentation of Financial Statements and Property, Plant, and Equipment: Reporting Discontinued Operations and Disclosures of Disposals of Components of an Entity (ASU 2014-08)</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Transfers and Servicing: Repurchase-to-Maturity Transactions, Repurchase Financings and Disclosures (ASU 2014-11)</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Compensation—Stock Compensation: Accounting for Share-Based Payments When the Terms of an Award Provide That a Performance Target Could Be Achieved after the Requisite Service Period (ASU 2014-12)</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Receivables—Troubled Debt Restructurings by Creditors: Classification of Certain Government-Guaranteed Mortgage Loans upon Foreclosure (ASU 2014-14)</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evaluating the impact of recently issued accounting standards not yet adopted that are not effective for us until on or after January 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anticipate that our adoption of these standards will have a material impact on our consolidated financial statements.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under advance financing facilities.</w:t>
      </w:r>
    </w:p>
    <w:p>
      <w:pPr>
        <w:spacing w:after="0" w:line="57"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monitor the effect of increases in interest rates on the interest paid on our variable rate advance financing debt. Earnings on cash and float balances are a partial offset to our exposure to changes in interest expense. Due to the growth in our Servicing business, float balances increased significantly to levels in excess of our variable rate debt. To the extent the projected excess of our variable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generally range from 15 to 60 days; and our holding period of the mortgage loan from funding to sale is typically less than 30 days.</w:t>
      </w:r>
    </w:p>
    <w:p>
      <w:pPr>
        <w:spacing w:after="0" w:line="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MSRs</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elected to account for two classes of MSRs at fair value. The first is a class of Agency MSRs originated on or before December 31, 2012 for which we hedged the interest rate risk because the mortgage notes underlying the MSRs permit the borrowers to prepay the loans. Effective April 1, 2013, we modified our strategy for managing the risks of the underlying loan portfolio and closed out the remaining economic hedge positions associated with this class of fair value MSRs. We terminated these hedges because we determined that they were ineffective for large movements in interest rates and only assured losses in substantial increasing-rate environments. On January 1, 2015, we elected fair value for a newly created class of non-Agency MSRs, which were previously accounted for using the amortization method.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692"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Interest Rate Sensitive Financial Instruments</w:t>
      </w:r>
    </w:p>
    <w:p>
      <w:pPr>
        <w:spacing w:after="0" w:line="121"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 tables below present the notional amounts of our financial instruments that are sensitive to changes in interest rates and the related fair value of these instruments at March 31, 2015 and December 31, 2014. We use certain assumptions to estimate the fair value of these instruments. See Note 3 – Fair Value to the unaudited Consolidated Financial Statements for additional financial instrument fair value information.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820"/>
              <w:spacing w:after="0"/>
              <w:rPr>
                <w:sz w:val="20"/>
                <w:szCs w:val="20"/>
                <w:color w:val="auto"/>
              </w:rPr>
            </w:pPr>
            <w:r>
              <w:rPr>
                <w:rFonts w:ascii="Arial" w:cs="Arial" w:eastAsia="Arial" w:hAnsi="Arial"/>
                <w:sz w:val="18"/>
                <w:szCs w:val="18"/>
                <w:b w:val="1"/>
                <w:bCs w:val="1"/>
                <w:color w:val="auto"/>
              </w:rPr>
              <w:t>March 31, 2015</w:t>
            </w:r>
          </w:p>
        </w:tc>
        <w:tc>
          <w:tcPr>
            <w:tcW w:w="140" w:type="dxa"/>
            <w:vAlign w:val="bottom"/>
          </w:tcPr>
          <w:p>
            <w:pPr>
              <w:spacing w:after="0"/>
              <w:rPr>
                <w:sz w:val="20"/>
                <w:szCs w:val="20"/>
                <w:color w:val="auto"/>
              </w:rPr>
            </w:pPr>
          </w:p>
        </w:tc>
        <w:tc>
          <w:tcPr>
            <w:tcW w:w="29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2014</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Carrying Value</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Carrying Value</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75,348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75,348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75,101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75,101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339,508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339,508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(1)</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68,489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68,489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87,492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87,492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1,808,141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1,808,141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1,550,141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1,550,141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Interest–earning collateral and debt service accounts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86,437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86,437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97,029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97,029</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rate-sensitive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2,377,923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2,377,923</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2,210,883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2,210,883</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2,000,676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2,000,676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2,090,247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2,488,607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2,469,502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2,258,641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2,248,341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secured borrowings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1,603,707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1,562,375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1,733,691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1,658,699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unsecured notes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304,500</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321,563</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 rate-sensitive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6,442,990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6,337,053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6,432,579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6,318,850</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2"/>
        </w:trPr>
        <w:tc>
          <w:tcPr>
            <w:tcW w:w="5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25"/>
        </w:trPr>
        <w:tc>
          <w:tcPr>
            <w:tcW w:w="51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center"/>
              <w:ind w:right="260"/>
              <w:spacing w:after="0"/>
              <w:rPr>
                <w:sz w:val="20"/>
                <w:szCs w:val="20"/>
                <w:color w:val="auto"/>
              </w:rPr>
            </w:pPr>
            <w:r>
              <w:rPr>
                <w:rFonts w:ascii="Arial" w:cs="Arial" w:eastAsia="Arial" w:hAnsi="Arial"/>
                <w:sz w:val="18"/>
                <w:szCs w:val="18"/>
                <w:b w:val="1"/>
                <w:bCs w:val="1"/>
                <w:color w:val="auto"/>
                <w:w w:val="91"/>
              </w:rPr>
              <w:t>Notional</w:t>
            </w:r>
          </w:p>
        </w:tc>
        <w:tc>
          <w:tcPr>
            <w:tcW w:w="2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shd w:val="clear" w:color="auto" w:fill="EAF9E8"/>
          </w:tcPr>
          <w:p>
            <w:pPr>
              <w:spacing w:after="0"/>
              <w:rPr>
                <w:sz w:val="19"/>
                <w:szCs w:val="19"/>
                <w:color w:val="auto"/>
              </w:rPr>
            </w:pPr>
          </w:p>
        </w:tc>
        <w:tc>
          <w:tcPr>
            <w:tcW w:w="1440" w:type="dxa"/>
            <w:vAlign w:val="bottom"/>
            <w:gridSpan w:val="2"/>
            <w:shd w:val="clear" w:color="auto" w:fill="EAF9E8"/>
          </w:tcPr>
          <w:p>
            <w:pPr>
              <w:jc w:val="center"/>
              <w:ind w:right="220"/>
              <w:spacing w:after="0"/>
              <w:rPr>
                <w:sz w:val="20"/>
                <w:szCs w:val="20"/>
                <w:color w:val="auto"/>
              </w:rPr>
            </w:pPr>
            <w:r>
              <w:rPr>
                <w:rFonts w:ascii="Arial" w:cs="Arial" w:eastAsia="Arial" w:hAnsi="Arial"/>
                <w:sz w:val="18"/>
                <w:szCs w:val="18"/>
                <w:b w:val="1"/>
                <w:bCs w:val="1"/>
                <w:color w:val="auto"/>
                <w:w w:val="91"/>
              </w:rPr>
              <w:t>Notional</w:t>
            </w: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jc w:val="center"/>
              <w:ind w:right="150"/>
              <w:spacing w:after="0"/>
              <w:rPr>
                <w:sz w:val="20"/>
                <w:szCs w:val="20"/>
                <w:color w:val="auto"/>
              </w:rPr>
            </w:pPr>
            <w:r>
              <w:rPr>
                <w:rFonts w:ascii="Arial" w:cs="Arial" w:eastAsia="Arial" w:hAnsi="Arial"/>
                <w:sz w:val="18"/>
                <w:szCs w:val="18"/>
                <w:b w:val="1"/>
                <w:bCs w:val="1"/>
                <w:color w:val="auto"/>
                <w:w w:val="96"/>
              </w:rPr>
              <w:t>Fair</w:t>
            </w:r>
          </w:p>
        </w:tc>
      </w:tr>
      <w:tr>
        <w:trPr>
          <w:trHeight w:val="261"/>
        </w:trPr>
        <w:tc>
          <w:tcPr>
            <w:tcW w:w="516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gridSpan w:val="2"/>
            <w:shd w:val="clear" w:color="auto" w:fill="EAF9E8"/>
          </w:tcPr>
          <w:p>
            <w:pPr>
              <w:jc w:val="center"/>
              <w:ind w:right="260"/>
              <w:spacing w:after="0"/>
              <w:rPr>
                <w:sz w:val="20"/>
                <w:szCs w:val="20"/>
                <w:color w:val="auto"/>
              </w:rPr>
            </w:pPr>
            <w:r>
              <w:rPr>
                <w:rFonts w:ascii="Arial" w:cs="Arial" w:eastAsia="Arial" w:hAnsi="Arial"/>
                <w:sz w:val="18"/>
                <w:szCs w:val="18"/>
                <w:b w:val="1"/>
                <w:bCs w:val="1"/>
                <w:color w:val="auto"/>
                <w:w w:val="89"/>
              </w:rPr>
              <w:t>Balance</w:t>
            </w:r>
          </w:p>
        </w:tc>
        <w:tc>
          <w:tcPr>
            <w:tcW w:w="2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gridSpan w:val="2"/>
            <w:shd w:val="clear" w:color="auto" w:fill="EAF9E8"/>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Borders>
              <w:bottom w:val="single" w:sz="8" w:color="EAF9E8"/>
            </w:tcBorders>
            <w:shd w:val="clear" w:color="auto" w:fill="EAF9E8"/>
          </w:tcPr>
          <w:p>
            <w:pPr>
              <w:spacing w:after="0"/>
              <w:rPr>
                <w:sz w:val="22"/>
                <w:szCs w:val="22"/>
                <w:color w:val="auto"/>
              </w:rPr>
            </w:pPr>
          </w:p>
        </w:tc>
        <w:tc>
          <w:tcPr>
            <w:tcW w:w="144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b w:val="1"/>
                <w:bCs w:val="1"/>
                <w:color w:val="auto"/>
                <w:w w:val="86"/>
              </w:rPr>
              <w:t>Balance</w:t>
            </w: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Derivative assets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1,627,000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1,729,000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IRLCs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419,508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9,516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239,406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6,065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Forward MBS trades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783,713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703,725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(2,854)</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3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Derivatives, net</w:t>
            </w:r>
          </w:p>
        </w:tc>
        <w:tc>
          <w:tcPr>
            <w:tcW w:w="14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4,470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3,778</w:t>
            </w: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of market valuation allowances and including non-performing loans.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and Related Derivatives</w:t>
      </w:r>
    </w:p>
    <w:p>
      <w:pPr>
        <w:spacing w:after="0" w:line="11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March 31, 2015, given hypothetical instantaneous parallel shifts in the yield curve. We used March 31, 2015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88"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Down 25 bps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Up 25 bps</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5,642</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7,743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297</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fair value MSRs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7,413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(8,673)</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7,688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(8,638)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left="60" w:right="30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Based on March 31, 2015 balances, if interest rates were to increase by 1% on our variable rate debt and interest earning cash and float balances, we estimate a net positive impact of $18.3 million resulting from an increase of $41.9 million in annual interest income and an increase of $23.6 million in annual interest expense.</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Management, under the supervision of and with the participation of our Chief Executive Officer and our Chief Financial Officer, has evaluated the effectiveness of our disclosure controls and procedures, as such term is defined in Rules 13a-15(e) and 15d-15(e) under the Securities Exchange Act of 1934, as amended (Exchange Act), as of March 31, 2015.</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March 31, 2015,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March 31, 2015 that has materially affected, or is reasonably likely to materially affect, our internal control over financial reporting.</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20 – Contingencies to the unaudited Consolidated Financial Statements. That information is incorporated into this item by reference.</w:t>
      </w: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An investment in our common stock involves significant risks that are inherent to our business. We describe the principal risks and uncertainties that management believes affect or could affect us under Part I to our Annual Report on Form 10-K for the year ended December 31, 2014. The risks and uncertainties described therein are not the only ones facing us. You should carefully read and consider the risks and uncertainties described therein together with all of the other information included or incorporated by reference in such Annual Report before you make any decision regarding an investment in our common stock. If any of the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50"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EXHIBITS</w:t>
            </w:r>
          </w:p>
        </w:tc>
        <w:tc>
          <w:tcPr>
            <w:tcW w:w="9500" w:type="dxa"/>
            <w:vAlign w:val="bottom"/>
          </w:tcPr>
          <w:p>
            <w:pPr>
              <w:spacing w:after="0"/>
              <w:rPr>
                <w:sz w:val="20"/>
                <w:szCs w:val="20"/>
                <w:color w:val="auto"/>
              </w:rPr>
            </w:pPr>
          </w:p>
        </w:tc>
      </w:tr>
      <w:tr>
        <w:trPr>
          <w:trHeight w:val="378"/>
        </w:trPr>
        <w:tc>
          <w:tcPr>
            <w:tcW w:w="76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3.1</w:t>
            </w:r>
          </w:p>
        </w:tc>
        <w:tc>
          <w:tcPr>
            <w:tcW w:w="9500" w:type="dxa"/>
            <w:vAlign w:val="bottom"/>
          </w:tcPr>
          <w:p>
            <w:pPr>
              <w:ind w:left="60"/>
              <w:spacing w:after="0"/>
              <w:rPr>
                <w:sz w:val="20"/>
                <w:szCs w:val="20"/>
                <w:color w:val="auto"/>
              </w:rPr>
            </w:pPr>
            <w:r>
              <w:rPr>
                <w:rFonts w:ascii="Arial" w:cs="Arial" w:eastAsia="Arial" w:hAnsi="Arial"/>
                <w:sz w:val="18"/>
                <w:szCs w:val="18"/>
                <w:color w:val="auto"/>
              </w:rPr>
              <w:t>Amended and Restated Articles of Incorporation (1)</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3.2</w:t>
            </w:r>
          </w:p>
        </w:tc>
        <w:tc>
          <w:tcPr>
            <w:tcW w:w="9500" w:type="dxa"/>
            <w:vAlign w:val="bottom"/>
          </w:tcPr>
          <w:p>
            <w:pPr>
              <w:ind w:left="6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3.3</w:t>
            </w:r>
          </w:p>
        </w:tc>
        <w:tc>
          <w:tcPr>
            <w:tcW w:w="9500" w:type="dxa"/>
            <w:vAlign w:val="bottom"/>
          </w:tcPr>
          <w:p>
            <w:pPr>
              <w:ind w:left="6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3.4</w:t>
            </w:r>
          </w:p>
        </w:tc>
        <w:tc>
          <w:tcPr>
            <w:tcW w:w="9500" w:type="dxa"/>
            <w:vAlign w:val="bottom"/>
          </w:tcPr>
          <w:p>
            <w:pPr>
              <w:ind w:left="60"/>
              <w:spacing w:after="0"/>
              <w:rPr>
                <w:sz w:val="20"/>
                <w:szCs w:val="20"/>
                <w:color w:val="auto"/>
              </w:rPr>
            </w:pPr>
            <w:r>
              <w:rPr>
                <w:rFonts w:ascii="Arial" w:cs="Arial" w:eastAsia="Arial" w:hAnsi="Arial"/>
                <w:sz w:val="18"/>
                <w:szCs w:val="18"/>
                <w:color w:val="auto"/>
              </w:rPr>
              <w:t>Articles of Amendment to Articles of Incorporation (3)</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3.5</w:t>
            </w:r>
          </w:p>
        </w:tc>
        <w:tc>
          <w:tcPr>
            <w:tcW w:w="9500" w:type="dxa"/>
            <w:vAlign w:val="bottom"/>
          </w:tcPr>
          <w:p>
            <w:pPr>
              <w:ind w:left="60"/>
              <w:spacing w:after="0"/>
              <w:rPr>
                <w:sz w:val="20"/>
                <w:szCs w:val="20"/>
                <w:color w:val="auto"/>
              </w:rPr>
            </w:pPr>
            <w:r>
              <w:rPr>
                <w:rFonts w:ascii="Arial" w:cs="Arial" w:eastAsia="Arial" w:hAnsi="Arial"/>
                <w:sz w:val="18"/>
                <w:szCs w:val="18"/>
                <w:color w:val="auto"/>
              </w:rPr>
              <w:t>Articles of Correction (3)</w:t>
            </w:r>
          </w:p>
        </w:tc>
      </w:tr>
      <w:tr>
        <w:trPr>
          <w:trHeight w:val="256"/>
        </w:trPr>
        <w:tc>
          <w:tcPr>
            <w:tcW w:w="760" w:type="dxa"/>
            <w:vAlign w:val="bottom"/>
          </w:tcPr>
          <w:p>
            <w:pPr>
              <w:spacing w:after="0"/>
              <w:rPr>
                <w:sz w:val="22"/>
                <w:szCs w:val="22"/>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3.6</w:t>
            </w:r>
          </w:p>
        </w:tc>
        <w:tc>
          <w:tcPr>
            <w:tcW w:w="9500" w:type="dxa"/>
            <w:vAlign w:val="bottom"/>
          </w:tcPr>
          <w:p>
            <w:pPr>
              <w:ind w:left="60"/>
              <w:spacing w:after="0"/>
              <w:rPr>
                <w:sz w:val="20"/>
                <w:szCs w:val="20"/>
                <w:color w:val="auto"/>
              </w:rPr>
            </w:pPr>
            <w:r>
              <w:rPr>
                <w:rFonts w:ascii="Arial" w:cs="Arial" w:eastAsia="Arial" w:hAnsi="Arial"/>
                <w:sz w:val="18"/>
                <w:szCs w:val="18"/>
                <w:color w:val="auto"/>
                <w:w w:val="98"/>
              </w:rPr>
              <w:t>Articles of Amendment to Articles of Incorporation, Articles of Designation, Preferences and Rights of Series A Perpetual</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Convertible Preferred Stock (4)</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3.7</w:t>
            </w:r>
          </w:p>
        </w:tc>
        <w:tc>
          <w:tcPr>
            <w:tcW w:w="9500" w:type="dxa"/>
            <w:vAlign w:val="bottom"/>
          </w:tcPr>
          <w:p>
            <w:pPr>
              <w:ind w:left="60"/>
              <w:spacing w:after="0"/>
              <w:rPr>
                <w:sz w:val="20"/>
                <w:szCs w:val="20"/>
                <w:color w:val="auto"/>
              </w:rPr>
            </w:pPr>
            <w:r>
              <w:rPr>
                <w:rFonts w:ascii="Arial" w:cs="Arial" w:eastAsia="Arial" w:hAnsi="Arial"/>
                <w:sz w:val="18"/>
                <w:szCs w:val="18"/>
                <w:color w:val="auto"/>
              </w:rPr>
              <w:t>Amended and Restated Bylaws of Ocwen Financial Corporation (5)</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11.1</w:t>
            </w:r>
          </w:p>
        </w:tc>
        <w:tc>
          <w:tcPr>
            <w:tcW w:w="9500" w:type="dxa"/>
            <w:vAlign w:val="bottom"/>
          </w:tcPr>
          <w:p>
            <w:pPr>
              <w:ind w:left="60"/>
              <w:spacing w:after="0"/>
              <w:rPr>
                <w:sz w:val="20"/>
                <w:szCs w:val="20"/>
                <w:color w:val="auto"/>
              </w:rPr>
            </w:pPr>
            <w:r>
              <w:rPr>
                <w:rFonts w:ascii="Arial" w:cs="Arial" w:eastAsia="Arial" w:hAnsi="Arial"/>
                <w:sz w:val="18"/>
                <w:szCs w:val="18"/>
                <w:color w:val="auto"/>
              </w:rPr>
              <w:t>Computation of earnings per share (6)</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31.1</w:t>
            </w:r>
          </w:p>
        </w:tc>
        <w:tc>
          <w:tcPr>
            <w:tcW w:w="9500" w:type="dxa"/>
            <w:vAlign w:val="bottom"/>
          </w:tcPr>
          <w:p>
            <w:pPr>
              <w:ind w:left="6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31.2</w:t>
            </w:r>
          </w:p>
        </w:tc>
        <w:tc>
          <w:tcPr>
            <w:tcW w:w="9500" w:type="dxa"/>
            <w:vAlign w:val="bottom"/>
          </w:tcPr>
          <w:p>
            <w:pPr>
              <w:ind w:left="6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760" w:type="dxa"/>
            <w:vAlign w:val="bottom"/>
          </w:tcPr>
          <w:p>
            <w:pPr>
              <w:spacing w:after="0"/>
              <w:rPr>
                <w:sz w:val="22"/>
                <w:szCs w:val="22"/>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32.1</w:t>
            </w:r>
          </w:p>
        </w:tc>
        <w:tc>
          <w:tcPr>
            <w:tcW w:w="9500" w:type="dxa"/>
            <w:vAlign w:val="bottom"/>
          </w:tcPr>
          <w:p>
            <w:pPr>
              <w:ind w:left="60"/>
              <w:spacing w:after="0"/>
              <w:rPr>
                <w:sz w:val="20"/>
                <w:szCs w:val="20"/>
                <w:color w:val="auto"/>
              </w:rPr>
            </w:pPr>
            <w:r>
              <w:rPr>
                <w:rFonts w:ascii="Arial" w:cs="Arial" w:eastAsia="Arial" w:hAnsi="Arial"/>
                <w:sz w:val="18"/>
                <w:szCs w:val="18"/>
                <w:color w:val="auto"/>
                <w:w w:val="97"/>
              </w:rPr>
              <w:t>Certification of the Chief Executive Officer pursuant to 18 U.S.C. Section 1350, as adopted pursuant to Section 906 of the</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Sarbanes-Oxley Act of 2002 (filed herewith)</w:t>
            </w:r>
          </w:p>
        </w:tc>
      </w:tr>
      <w:tr>
        <w:trPr>
          <w:trHeight w:val="256"/>
        </w:trPr>
        <w:tc>
          <w:tcPr>
            <w:tcW w:w="760" w:type="dxa"/>
            <w:vAlign w:val="bottom"/>
          </w:tcPr>
          <w:p>
            <w:pPr>
              <w:spacing w:after="0"/>
              <w:rPr>
                <w:sz w:val="22"/>
                <w:szCs w:val="22"/>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32.2</w:t>
            </w:r>
          </w:p>
        </w:tc>
        <w:tc>
          <w:tcPr>
            <w:tcW w:w="9500" w:type="dxa"/>
            <w:vAlign w:val="bottom"/>
          </w:tcPr>
          <w:p>
            <w:pPr>
              <w:ind w:left="60"/>
              <w:spacing w:after="0"/>
              <w:rPr>
                <w:sz w:val="20"/>
                <w:szCs w:val="20"/>
                <w:color w:val="auto"/>
              </w:rPr>
            </w:pPr>
            <w:r>
              <w:rPr>
                <w:rFonts w:ascii="Arial" w:cs="Arial" w:eastAsia="Arial" w:hAnsi="Arial"/>
                <w:sz w:val="18"/>
                <w:szCs w:val="18"/>
                <w:color w:val="auto"/>
                <w:w w:val="98"/>
              </w:rPr>
              <w:t>Certification of the Chief Financial Officer pursuant to 18 U.S.C. Section 1350, as adopted pursuant to Section 906 of the</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Sarbanes-Oxley Act of 2002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101.INS</w:t>
            </w:r>
          </w:p>
        </w:tc>
        <w:tc>
          <w:tcPr>
            <w:tcW w:w="9500" w:type="dxa"/>
            <w:vAlign w:val="bottom"/>
          </w:tcPr>
          <w:p>
            <w:pPr>
              <w:ind w:left="6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101.SCH</w:t>
            </w:r>
          </w:p>
        </w:tc>
        <w:tc>
          <w:tcPr>
            <w:tcW w:w="9500" w:type="dxa"/>
            <w:vAlign w:val="bottom"/>
          </w:tcPr>
          <w:p>
            <w:pPr>
              <w:ind w:left="6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101.CAL</w:t>
            </w:r>
          </w:p>
        </w:tc>
        <w:tc>
          <w:tcPr>
            <w:tcW w:w="950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101.DEF</w:t>
            </w:r>
          </w:p>
        </w:tc>
        <w:tc>
          <w:tcPr>
            <w:tcW w:w="950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101.LAB</w:t>
            </w:r>
          </w:p>
        </w:tc>
        <w:tc>
          <w:tcPr>
            <w:tcW w:w="950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101.PRE</w:t>
            </w:r>
          </w:p>
        </w:tc>
        <w:tc>
          <w:tcPr>
            <w:tcW w:w="950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5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500" w:right="180" w:hanging="492"/>
        <w:spacing w:after="0" w:line="258"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spacing w:after="0" w:line="1" w:lineRule="exact"/>
        <w:rPr>
          <w:rFonts w:ascii="Arial" w:cs="Arial" w:eastAsia="Arial" w:hAnsi="Arial"/>
          <w:sz w:val="18"/>
          <w:szCs w:val="18"/>
          <w:color w:val="auto"/>
        </w:rPr>
      </w:pPr>
    </w:p>
    <w:p>
      <w:pPr>
        <w:ind w:left="500" w:right="700" w:hanging="492"/>
        <w:spacing w:after="0" w:line="250"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ind w:left="500" w:right="700" w:hanging="492"/>
        <w:spacing w:after="0" w:line="250"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500" w:hanging="492"/>
        <w:spacing w:after="0"/>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December 28,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May 10, 2013.</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“Note 15 – Basic and Diluted Earnings per Share” to the unaudited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88" w:right="239" w:bottom="1440" w:gutter="0" w:footer="0" w:header="0"/>
        </w:sectPr>
      </w:pPr>
    </w:p>
    <w:bookmarkStart w:id="73" w:name="page74"/>
    <w:bookmarkEnd w:id="7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15,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00"/>
          </w:cols>
          <w:pgMar w:left="240" w:top="688" w:right="3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May 15, 2015</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May 15, 2015</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2015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May 15, 2015</w:t>
            </w:r>
          </w:p>
        </w:tc>
      </w:tr>
    </w:tbl>
    <w:p>
      <w:pPr>
        <w:sectPr>
          <w:pgSz w:w="11900" w:h="16838" w:orient="portrait"/>
          <w:cols w:equalWidth="0" w:num="1">
            <w:col w:w="11420"/>
          </w:cols>
          <w:pgMar w:left="240" w:top="86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2015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May 15, 2015</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lowerLetter"/>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2"/>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7"/>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lvl w:ilvl="1">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2"/>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lowerRoman"/>
      <w:start w:val="7"/>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lowerRoman"/>
      <w:start w:val="2"/>
    </w:lvl>
    <w:lvl w:ilvl="1">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
      <w:numFmt w:val="bullet"/>
      <w:start w:val="1"/>
    </w:lvl>
  </w:abstractNum>
  <w:abstractNum w:abstractNumId="57">
    <w:nsid w:val="235BA861"/>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2019-12-29T17:32:27Z</dcterms:created>
  <dcterms:modified xsi:type="dcterms:W3CDTF">2019-12-29T17:32:27Z</dcterms:modified>
</cp:coreProperties>
</file>