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22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229"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or</w:t>
      </w:r>
    </w:p>
    <w:p>
      <w:pPr>
        <w:spacing w:after="0" w:line="218"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22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transition period from: _____________________to _____________________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1-13219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8060" w:type="dxa"/>
            <w:vAlign w:val="bottom"/>
            <w:gridSpan w:val="3"/>
          </w:tcPr>
          <w:p>
            <w:pPr>
              <w:jc w:val="center"/>
              <w:ind w:right="2900"/>
              <w:spacing w:after="0"/>
              <w:rPr>
                <w:sz w:val="20"/>
                <w:szCs w:val="20"/>
                <w:color w:val="auto"/>
              </w:rPr>
            </w:pPr>
            <w:r>
              <w:rPr>
                <w:rFonts w:ascii="Arial" w:cs="Arial" w:eastAsia="Arial" w:hAnsi="Arial"/>
                <w:sz w:val="18"/>
                <w:szCs w:val="18"/>
                <w:b w:val="1"/>
                <w:bCs w:val="1"/>
                <w:color w:val="auto"/>
                <w:w w:val="93"/>
              </w:rPr>
              <w:t>Florida</w:t>
            </w:r>
          </w:p>
        </w:tc>
        <w:tc>
          <w:tcPr>
            <w:tcW w:w="3360" w:type="dxa"/>
            <w:vAlign w:val="bottom"/>
          </w:tcPr>
          <w:p>
            <w:pPr>
              <w:jc w:val="center"/>
              <w:ind w:right="1690"/>
              <w:spacing w:after="0"/>
              <w:rPr>
                <w:sz w:val="20"/>
                <w:szCs w:val="20"/>
                <w:color w:val="auto"/>
              </w:rPr>
            </w:pPr>
            <w:r>
              <w:rPr>
                <w:rFonts w:ascii="Arial" w:cs="Arial" w:eastAsia="Arial" w:hAnsi="Arial"/>
                <w:sz w:val="18"/>
                <w:szCs w:val="18"/>
                <w:b w:val="1"/>
                <w:bCs w:val="1"/>
                <w:color w:val="auto"/>
                <w:w w:val="89"/>
              </w:rPr>
              <w:t>65-0039856</w:t>
            </w:r>
          </w:p>
        </w:tc>
      </w:tr>
      <w:tr>
        <w:trPr>
          <w:trHeight w:val="202"/>
        </w:trPr>
        <w:tc>
          <w:tcPr>
            <w:tcW w:w="5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112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tcPr>
          <w:p>
            <w:pPr>
              <w:jc w:val="center"/>
              <w:ind w:right="16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8060" w:type="dxa"/>
            <w:vAlign w:val="bottom"/>
            <w:gridSpan w:val="3"/>
          </w:tcPr>
          <w:p>
            <w:pPr>
              <w:jc w:val="center"/>
              <w:ind w:right="2900"/>
              <w:spacing w:after="0"/>
              <w:rPr>
                <w:sz w:val="20"/>
                <w:szCs w:val="20"/>
                <w:color w:val="auto"/>
              </w:rPr>
            </w:pPr>
            <w:r>
              <w:rPr>
                <w:rFonts w:ascii="Arial" w:cs="Arial" w:eastAsia="Arial" w:hAnsi="Arial"/>
                <w:sz w:val="18"/>
                <w:szCs w:val="18"/>
                <w:color w:val="auto"/>
                <w:w w:val="92"/>
              </w:rPr>
              <w:t>of incorporation or organization)</w:t>
            </w:r>
          </w:p>
        </w:tc>
        <w:tc>
          <w:tcPr>
            <w:tcW w:w="3360" w:type="dxa"/>
            <w:vAlign w:val="bottom"/>
          </w:tcPr>
          <w:p>
            <w:pPr>
              <w:jc w:val="center"/>
              <w:ind w:right="1690"/>
              <w:spacing w:after="0"/>
              <w:rPr>
                <w:sz w:val="20"/>
                <w:szCs w:val="20"/>
                <w:color w:val="auto"/>
              </w:rPr>
            </w:pPr>
            <w:r>
              <w:rPr>
                <w:rFonts w:ascii="Arial" w:cs="Arial" w:eastAsia="Arial" w:hAnsi="Arial"/>
                <w:sz w:val="18"/>
                <w:szCs w:val="18"/>
                <w:color w:val="auto"/>
                <w:w w:val="95"/>
              </w:rPr>
              <w:t>Identification No.)</w:t>
            </w:r>
          </w:p>
        </w:tc>
      </w:tr>
      <w:tr>
        <w:trPr>
          <w:trHeight w:val="466"/>
        </w:trPr>
        <w:tc>
          <w:tcPr>
            <w:tcW w:w="8060" w:type="dxa"/>
            <w:vAlign w:val="bottom"/>
            <w:tcBorders>
              <w:bottom w:val="single" w:sz="8" w:color="auto"/>
            </w:tcBorders>
            <w:gridSpan w:val="3"/>
          </w:tcPr>
          <w:p>
            <w:pPr>
              <w:jc w:val="center"/>
              <w:ind w:left="3290"/>
              <w:spacing w:after="0"/>
              <w:rPr>
                <w:sz w:val="20"/>
                <w:szCs w:val="20"/>
                <w:color w:val="auto"/>
              </w:rPr>
            </w:pPr>
            <w:r>
              <w:rPr>
                <w:rFonts w:ascii="Arial" w:cs="Arial" w:eastAsia="Arial" w:hAnsi="Arial"/>
                <w:sz w:val="18"/>
                <w:szCs w:val="18"/>
                <w:b w:val="1"/>
                <w:bCs w:val="1"/>
                <w:color w:val="auto"/>
                <w:w w:val="90"/>
              </w:rPr>
              <w:t>2002 Summit Boulevard, 6</w:t>
            </w:r>
            <w:r>
              <w:rPr>
                <w:rFonts w:ascii="Arial" w:cs="Arial" w:eastAsia="Arial" w:hAnsi="Arial"/>
                <w:sz w:val="25"/>
                <w:szCs w:val="25"/>
                <w:b w:val="1"/>
                <w:bCs w:val="1"/>
                <w:color w:val="auto"/>
                <w:w w:val="90"/>
                <w:vertAlign w:val="superscript"/>
              </w:rPr>
              <w:t>th</w:t>
            </w:r>
            <w:r>
              <w:rPr>
                <w:rFonts w:ascii="Arial" w:cs="Arial" w:eastAsia="Arial" w:hAnsi="Arial"/>
                <w:sz w:val="18"/>
                <w:szCs w:val="18"/>
                <w:b w:val="1"/>
                <w:bCs w:val="1"/>
                <w:color w:val="auto"/>
                <w:w w:val="90"/>
              </w:rPr>
              <w:t xml:space="preserve"> Floor, Atlanta, Georgia 30319</w:t>
            </w:r>
          </w:p>
        </w:tc>
        <w:tc>
          <w:tcPr>
            <w:tcW w:w="3360" w:type="dxa"/>
            <w:vAlign w:val="bottom"/>
            <w:tcBorders>
              <w:bottom w:val="single" w:sz="8" w:color="auto"/>
            </w:tcBorders>
          </w:tcPr>
          <w:p>
            <w:pPr>
              <w:spacing w:after="0"/>
              <w:rPr>
                <w:sz w:val="24"/>
                <w:szCs w:val="24"/>
                <w:color w:val="auto"/>
              </w:rPr>
            </w:pPr>
          </w:p>
        </w:tc>
      </w:tr>
      <w:tr>
        <w:trPr>
          <w:trHeight w:val="230"/>
        </w:trPr>
        <w:tc>
          <w:tcPr>
            <w:tcW w:w="8060" w:type="dxa"/>
            <w:vAlign w:val="bottom"/>
            <w:gridSpan w:val="3"/>
          </w:tcPr>
          <w:p>
            <w:pPr>
              <w:jc w:val="center"/>
              <w:ind w:left="3270"/>
              <w:spacing w:after="0"/>
              <w:rPr>
                <w:sz w:val="20"/>
                <w:szCs w:val="20"/>
                <w:color w:val="auto"/>
              </w:rPr>
            </w:pPr>
            <w:r>
              <w:rPr>
                <w:rFonts w:ascii="Arial" w:cs="Arial" w:eastAsia="Arial" w:hAnsi="Arial"/>
                <w:sz w:val="18"/>
                <w:szCs w:val="18"/>
                <w:color w:val="auto"/>
                <w:w w:val="92"/>
              </w:rPr>
              <w:t>(Address of principal executive offices) (Zip Code)</w:t>
            </w:r>
          </w:p>
        </w:tc>
        <w:tc>
          <w:tcPr>
            <w:tcW w:w="3360" w:type="dxa"/>
            <w:vAlign w:val="bottom"/>
          </w:tcPr>
          <w:p>
            <w:pPr>
              <w:spacing w:after="0"/>
              <w:rPr>
                <w:sz w:val="20"/>
                <w:szCs w:val="20"/>
                <w:color w:val="auto"/>
              </w:rPr>
            </w:pPr>
          </w:p>
        </w:tc>
      </w:tr>
      <w:tr>
        <w:trPr>
          <w:trHeight w:val="425"/>
        </w:trPr>
        <w:tc>
          <w:tcPr>
            <w:tcW w:w="6280" w:type="dxa"/>
            <w:vAlign w:val="bottom"/>
            <w:tcBorders>
              <w:bottom w:val="single" w:sz="8" w:color="auto"/>
            </w:tcBorders>
            <w:gridSpan w:val="2"/>
          </w:tcPr>
          <w:p>
            <w:pPr>
              <w:jc w:val="center"/>
              <w:ind w:left="5070"/>
              <w:spacing w:after="0"/>
              <w:rPr>
                <w:sz w:val="20"/>
                <w:szCs w:val="20"/>
                <w:color w:val="auto"/>
              </w:rPr>
            </w:pPr>
            <w:r>
              <w:rPr>
                <w:rFonts w:ascii="Arial" w:cs="Arial" w:eastAsia="Arial" w:hAnsi="Arial"/>
                <w:sz w:val="18"/>
                <w:szCs w:val="18"/>
                <w:b w:val="1"/>
                <w:bCs w:val="1"/>
                <w:color w:val="auto"/>
                <w:w w:val="90"/>
              </w:rPr>
              <w:t>(561) 682-8000</w:t>
            </w:r>
          </w:p>
        </w:tc>
        <w:tc>
          <w:tcPr>
            <w:tcW w:w="17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r>
        <w:trPr>
          <w:trHeight w:val="230"/>
        </w:trPr>
        <w:tc>
          <w:tcPr>
            <w:tcW w:w="8060" w:type="dxa"/>
            <w:vAlign w:val="bottom"/>
            <w:gridSpan w:val="3"/>
          </w:tcPr>
          <w:p>
            <w:pPr>
              <w:jc w:val="center"/>
              <w:ind w:left="3270"/>
              <w:spacing w:after="0"/>
              <w:rPr>
                <w:sz w:val="20"/>
                <w:szCs w:val="20"/>
                <w:color w:val="auto"/>
              </w:rPr>
            </w:pPr>
            <w:r>
              <w:rPr>
                <w:rFonts w:ascii="Arial" w:cs="Arial" w:eastAsia="Arial" w:hAnsi="Arial"/>
                <w:sz w:val="18"/>
                <w:szCs w:val="18"/>
                <w:color w:val="auto"/>
                <w:w w:val="90"/>
              </w:rPr>
              <w:t>(Registrant’s telephone number, including area code)</w:t>
            </w:r>
          </w:p>
        </w:tc>
        <w:tc>
          <w:tcPr>
            <w:tcW w:w="3360" w:type="dxa"/>
            <w:vAlign w:val="bottom"/>
          </w:tcPr>
          <w:p>
            <w:pPr>
              <w:spacing w:after="0"/>
              <w:rPr>
                <w:sz w:val="20"/>
                <w:szCs w:val="20"/>
                <w:color w:val="auto"/>
              </w:rPr>
            </w:pPr>
          </w:p>
        </w:tc>
      </w:tr>
    </w:tbl>
    <w:p>
      <w:pPr>
        <w:spacing w:after="0" w:line="214" w:lineRule="exact"/>
        <w:rPr>
          <w:sz w:val="24"/>
          <w:szCs w:val="24"/>
          <w:color w:val="auto"/>
        </w:rPr>
      </w:pPr>
    </w:p>
    <w:p>
      <w:pPr>
        <w:ind w:right="140" w:firstLine="324"/>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80"/>
        <w:spacing w:after="0"/>
        <w:rPr>
          <w:sz w:val="20"/>
          <w:szCs w:val="20"/>
          <w:color w:val="auto"/>
        </w:rPr>
      </w:pPr>
      <w:r>
        <w:rPr>
          <w:rFonts w:ascii="Arial" w:cs="Arial" w:eastAsia="Arial" w:hAnsi="Arial"/>
          <w:sz w:val="17"/>
          <w:szCs w:val="17"/>
          <w:color w:val="auto"/>
        </w:rPr>
        <w:t>Yes x No o</w:t>
      </w:r>
    </w:p>
    <w:p>
      <w:pPr>
        <w:spacing w:after="0" w:line="249" w:lineRule="exact"/>
        <w:rPr>
          <w:sz w:val="24"/>
          <w:szCs w:val="24"/>
          <w:color w:val="auto"/>
        </w:rPr>
      </w:pPr>
    </w:p>
    <w:p>
      <w:pPr>
        <w:ind w:right="40" w:firstLine="324"/>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10580"/>
        <w:spacing w:after="0"/>
        <w:rPr>
          <w:sz w:val="20"/>
          <w:szCs w:val="20"/>
          <w:color w:val="auto"/>
        </w:rPr>
      </w:pPr>
      <w:r>
        <w:rPr>
          <w:rFonts w:ascii="Arial" w:cs="Arial" w:eastAsia="Arial" w:hAnsi="Arial"/>
          <w:sz w:val="17"/>
          <w:szCs w:val="17"/>
          <w:color w:val="auto"/>
        </w:rPr>
        <w:t>Yes x No o</w:t>
      </w:r>
    </w:p>
    <w:p>
      <w:pPr>
        <w:spacing w:after="0" w:line="249" w:lineRule="exact"/>
        <w:rPr>
          <w:sz w:val="24"/>
          <w:szCs w:val="24"/>
          <w:color w:val="auto"/>
        </w:rPr>
      </w:pPr>
    </w:p>
    <w:p>
      <w:pPr>
        <w:ind w:right="1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174" w:lineRule="exact"/>
        <w:rPr>
          <w:sz w:val="24"/>
          <w:szCs w:val="24"/>
          <w:color w:val="auto"/>
        </w:rPr>
      </w:pPr>
    </w:p>
    <w:p>
      <w:pPr>
        <w:ind w:left="580" w:right="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760"/>
        <w:spacing w:after="0"/>
        <w:rPr>
          <w:sz w:val="20"/>
          <w:szCs w:val="20"/>
          <w:color w:val="auto"/>
        </w:rPr>
      </w:pPr>
      <w:r>
        <w:rPr>
          <w:rFonts w:ascii="Arial" w:cs="Arial" w:eastAsia="Arial" w:hAnsi="Arial"/>
          <w:sz w:val="17"/>
          <w:szCs w:val="17"/>
          <w:color w:val="auto"/>
        </w:rPr>
        <w:t>Accelerated filer</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22" w:lineRule="exact"/>
        <w:rPr>
          <w:sz w:val="24"/>
          <w:szCs w:val="24"/>
          <w:color w:val="auto"/>
        </w:rPr>
      </w:pPr>
    </w:p>
    <w:p>
      <w:pPr>
        <w:sectPr>
          <w:pgSz w:w="11900" w:h="16838" w:orient="portrait"/>
          <w:cols w:equalWidth="0" w:num="4">
            <w:col w:w="2280" w:space="720"/>
            <w:col w:w="4700" w:space="720"/>
            <w:col w:w="1980" w:space="480"/>
            <w:col w:w="540"/>
          </w:cols>
          <w:pgMar w:left="240" w:top="225" w:right="2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o No x</w:t>
      </w:r>
    </w:p>
    <w:p>
      <w:pPr>
        <w:spacing w:after="0" w:line="23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Number of shares of Common Stock, $0.01 par value, outstanding as of July 29, 2011: 100,948,647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00" w:type="dxa"/>
            <w:vAlign w:val="bottom"/>
          </w:tcPr>
          <w:p>
            <w:pPr>
              <w:jc w:val="right"/>
              <w:ind w:right="230"/>
              <w:spacing w:after="0"/>
              <w:rPr>
                <w:sz w:val="20"/>
                <w:szCs w:val="20"/>
                <w:color w:val="auto"/>
              </w:rPr>
            </w:pPr>
            <w:r>
              <w:rPr>
                <w:rFonts w:ascii="Arial" w:cs="Arial" w:eastAsia="Arial" w:hAnsi="Arial"/>
                <w:sz w:val="18"/>
                <w:szCs w:val="18"/>
                <w:b w:val="1"/>
                <w:bCs w:val="1"/>
                <w:color w:val="auto"/>
              </w:rPr>
              <w:t>PAGE</w:t>
            </w:r>
          </w:p>
        </w:tc>
      </w:tr>
      <w:tr>
        <w:trPr>
          <w:trHeight w:val="392"/>
        </w:trPr>
        <w:tc>
          <w:tcPr>
            <w:tcW w:w="932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10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520" w:type="dxa"/>
            <w:vAlign w:val="bottom"/>
            <w:gridSpan w:val="4"/>
          </w:tcPr>
          <w:p>
            <w:pPr>
              <w:spacing w:after="0"/>
              <w:rPr>
                <w:sz w:val="24"/>
                <w:szCs w:val="24"/>
                <w:color w:val="auto"/>
              </w:rPr>
            </w:pPr>
          </w:p>
        </w:tc>
        <w:tc>
          <w:tcPr>
            <w:tcW w:w="40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Interim Consolidated Financial Statements (Unaudited)</w:t>
              </w:r>
            </w:hyperlink>
          </w:p>
        </w:tc>
        <w:tc>
          <w:tcPr>
            <w:tcW w:w="4280" w:type="dxa"/>
            <w:vAlign w:val="bottom"/>
            <w:gridSpan w:val="7"/>
          </w:tcPr>
          <w:p>
            <w:pPr>
              <w:spacing w:after="0"/>
              <w:rPr>
                <w:sz w:val="24"/>
                <w:szCs w:val="24"/>
                <w:color w:val="auto"/>
              </w:rPr>
            </w:pP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at June 30, 2011 and December 31, 2010</w:t>
              </w:r>
            </w:hyperlink>
          </w:p>
        </w:tc>
        <w:tc>
          <w:tcPr>
            <w:tcW w:w="3200" w:type="dxa"/>
            <w:vAlign w:val="bottom"/>
            <w:gridSpan w:val="5"/>
          </w:tcPr>
          <w:p>
            <w:pPr>
              <w:spacing w:after="0"/>
              <w:rPr>
                <w:sz w:val="24"/>
                <w:szCs w:val="24"/>
                <w:color w:val="auto"/>
              </w:rPr>
            </w:pP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and Six Months Ended June 30, 2011 and 2010</w:t>
              </w:r>
            </w:hyperlink>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Income (Loss) for the Three and Six Months Ended June 30, 2011 and</w:t>
              </w:r>
            </w:hyperlink>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5</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2010</w:t>
              </w:r>
            </w:hyperlink>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Changes in Equity for the Six Months Ended June 30, 2011 and 2010</w:t>
              </w:r>
            </w:hyperlink>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Cash Flows for the Six Months Ended June 30, 2011 and 2010</w:t>
              </w:r>
            </w:hyperlink>
          </w:p>
        </w:tc>
        <w:tc>
          <w:tcPr>
            <w:tcW w:w="480" w:type="dxa"/>
            <w:vAlign w:val="bottom"/>
            <w:tcBorders>
              <w:top w:val="single" w:sz="8" w:color="0000EE"/>
            </w:tcBorders>
          </w:tcPr>
          <w:p>
            <w:pPr>
              <w:spacing w:after="0"/>
              <w:rPr>
                <w:sz w:val="24"/>
                <w:szCs w:val="24"/>
                <w:color w:val="auto"/>
              </w:rPr>
            </w:pPr>
          </w:p>
        </w:tc>
        <w:tc>
          <w:tcPr>
            <w:tcW w:w="1260" w:type="dxa"/>
            <w:vAlign w:val="bottom"/>
            <w:gridSpan w:val="2"/>
          </w:tcPr>
          <w:p>
            <w:pPr>
              <w:spacing w:after="0"/>
              <w:rPr>
                <w:sz w:val="24"/>
                <w:szCs w:val="24"/>
                <w:color w:val="auto"/>
              </w:rPr>
            </w:pP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Notes to Interim Consolidated Financial Statements</w:t>
              </w:r>
            </w:hyperlink>
          </w:p>
        </w:tc>
        <w:tc>
          <w:tcPr>
            <w:tcW w:w="4540" w:type="dxa"/>
            <w:vAlign w:val="bottom"/>
            <w:gridSpan w:val="8"/>
          </w:tcPr>
          <w:p>
            <w:pPr>
              <w:spacing w:after="0"/>
              <w:rPr>
                <w:sz w:val="24"/>
                <w:szCs w:val="24"/>
                <w:color w:val="auto"/>
              </w:rPr>
            </w:pP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8</w:t>
            </w:r>
          </w:p>
        </w:tc>
      </w:tr>
      <w:tr>
        <w:trPr>
          <w:trHeight w:val="412"/>
        </w:trPr>
        <w:tc>
          <w:tcPr>
            <w:tcW w:w="64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400" w:type="dxa"/>
            <w:vAlign w:val="bottom"/>
            <w:gridSpan w:val="2"/>
          </w:tcPr>
          <w:p>
            <w:pPr>
              <w:spacing w:after="0"/>
              <w:rPr>
                <w:sz w:val="24"/>
                <w:szCs w:val="24"/>
                <w:color w:val="auto"/>
              </w:rPr>
            </w:pPr>
          </w:p>
        </w:tc>
        <w:tc>
          <w:tcPr>
            <w:tcW w:w="828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31</w:t>
            </w: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Item 3.</w:t>
              </w:r>
            </w:hyperlink>
          </w:p>
        </w:tc>
        <w:tc>
          <w:tcPr>
            <w:tcW w:w="100" w:type="dxa"/>
            <w:vAlign w:val="bottom"/>
            <w:tcBorders>
              <w:top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6460" w:type="dxa"/>
            <w:vAlign w:val="bottom"/>
            <w:tcBorders>
              <w:top w:val="single" w:sz="8" w:color="0000EE"/>
            </w:tcBorders>
            <w:gridSpan w:val="1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1820" w:type="dxa"/>
            <w:vAlign w:val="bottom"/>
            <w:gridSpan w:val="4"/>
          </w:tcPr>
          <w:p>
            <w:pPr>
              <w:spacing w:after="0"/>
              <w:rPr>
                <w:sz w:val="24"/>
                <w:szCs w:val="24"/>
                <w:color w:val="auto"/>
              </w:rPr>
            </w:pP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47</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24"/>
                <w:szCs w:val="24"/>
                <w:color w:val="auto"/>
              </w:rPr>
            </w:pPr>
          </w:p>
        </w:tc>
        <w:tc>
          <w:tcPr>
            <w:tcW w:w="500" w:type="dxa"/>
            <w:vAlign w:val="bottom"/>
            <w:gridSpan w:val="3"/>
          </w:tcPr>
          <w:p>
            <w:pPr>
              <w:spacing w:after="0"/>
              <w:rPr>
                <w:sz w:val="24"/>
                <w:szCs w:val="24"/>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5"/>
          </w:tcPr>
          <w:p>
            <w:pPr>
              <w:spacing w:after="0"/>
              <w:rPr>
                <w:sz w:val="24"/>
                <w:szCs w:val="24"/>
                <w:color w:val="auto"/>
              </w:rPr>
            </w:pPr>
          </w:p>
        </w:tc>
        <w:tc>
          <w:tcPr>
            <w:tcW w:w="3920" w:type="dxa"/>
            <w:vAlign w:val="bottom"/>
            <w:gridSpan w:val="6"/>
          </w:tcPr>
          <w:p>
            <w:pPr>
              <w:spacing w:after="0"/>
              <w:rPr>
                <w:sz w:val="24"/>
                <w:szCs w:val="24"/>
                <w:color w:val="auto"/>
              </w:rPr>
            </w:pP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48</w:t>
            </w:r>
          </w:p>
        </w:tc>
      </w:tr>
      <w:tr>
        <w:trPr>
          <w:trHeight w:val="412"/>
        </w:trPr>
        <w:tc>
          <w:tcPr>
            <w:tcW w:w="9320" w:type="dxa"/>
            <w:vAlign w:val="bottom"/>
            <w:gridSpan w:val="21"/>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 OTHER INFORMATION</w:t>
              </w:r>
            </w:hyperlink>
          </w:p>
        </w:tc>
        <w:tc>
          <w:tcPr>
            <w:tcW w:w="2100" w:type="dxa"/>
            <w:vAlign w:val="bottom"/>
          </w:tcPr>
          <w:p>
            <w:pPr>
              <w:spacing w:after="0"/>
              <w:rPr>
                <w:sz w:val="24"/>
                <w:szCs w:val="24"/>
                <w:color w:val="auto"/>
              </w:rPr>
            </w:pP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49">
              <w:r>
                <w:rPr>
                  <w:rFonts w:ascii="Arial" w:cs="Arial" w:eastAsia="Arial" w:hAnsi="Arial"/>
                  <w:sz w:val="18"/>
                  <w:szCs w:val="18"/>
                  <w:color w:val="0000EE"/>
                  <w:w w:val="94"/>
                </w:rPr>
                <w:t>Item 1.</w:t>
              </w:r>
            </w:hyperlink>
          </w:p>
        </w:tc>
        <w:tc>
          <w:tcPr>
            <w:tcW w:w="500" w:type="dxa"/>
            <w:vAlign w:val="bottom"/>
            <w:tcBorders>
              <w:top w:val="single" w:sz="8" w:color="0000EE"/>
            </w:tcBorders>
            <w:gridSpan w:val="3"/>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6460" w:type="dxa"/>
            <w:vAlign w:val="bottom"/>
            <w:gridSpan w:val="10"/>
          </w:tcPr>
          <w:p>
            <w:pPr>
              <w:spacing w:after="0"/>
              <w:rPr>
                <w:sz w:val="24"/>
                <w:szCs w:val="24"/>
                <w:color w:val="auto"/>
              </w:rPr>
            </w:pP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48</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940" w:type="dxa"/>
            <w:vAlign w:val="bottom"/>
            <w:gridSpan w:val="1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12"/>
        </w:trPr>
        <w:tc>
          <w:tcPr>
            <w:tcW w:w="1040" w:type="dxa"/>
            <w:vAlign w:val="bottom"/>
            <w:gridSpan w:val="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1A.</w:t>
              </w:r>
            </w:hyperlink>
          </w:p>
        </w:tc>
        <w:tc>
          <w:tcPr>
            <w:tcW w:w="8280" w:type="dxa"/>
            <w:vAlign w:val="bottom"/>
            <w:gridSpan w:val="1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48</w:t>
            </w:r>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50">
              <w:r>
                <w:rPr>
                  <w:rFonts w:ascii="Arial" w:cs="Arial" w:eastAsia="Arial" w:hAnsi="Arial"/>
                  <w:sz w:val="18"/>
                  <w:szCs w:val="18"/>
                  <w:color w:val="0000EE"/>
                  <w:w w:val="94"/>
                </w:rPr>
                <w:t>Item 6.</w:t>
              </w:r>
            </w:hyperlink>
          </w:p>
        </w:tc>
        <w:tc>
          <w:tcPr>
            <w:tcW w:w="100" w:type="dxa"/>
            <w:vAlign w:val="bottom"/>
            <w:tcBorders>
              <w:top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920" w:type="dxa"/>
            <w:vAlign w:val="bottom"/>
            <w:tcBorders>
              <w:top w:val="single" w:sz="8" w:color="0000EE"/>
            </w:tcBorders>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7360" w:type="dxa"/>
            <w:vAlign w:val="bottom"/>
            <w:gridSpan w:val="13"/>
          </w:tcPr>
          <w:p>
            <w:pPr>
              <w:spacing w:after="0"/>
              <w:rPr>
                <w:sz w:val="24"/>
                <w:szCs w:val="24"/>
                <w:color w:val="auto"/>
              </w:rPr>
            </w:pP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49</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12"/>
        </w:trPr>
        <w:tc>
          <w:tcPr>
            <w:tcW w:w="1040" w:type="dxa"/>
            <w:vAlign w:val="bottom"/>
            <w:gridSpan w:val="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jc w:val="right"/>
              <w:ind w:right="470"/>
              <w:spacing w:after="0"/>
              <w:rPr>
                <w:sz w:val="20"/>
                <w:szCs w:val="20"/>
                <w:color w:val="auto"/>
              </w:rPr>
            </w:pPr>
            <w:r>
              <w:rPr>
                <w:rFonts w:ascii="Arial" w:cs="Arial" w:eastAsia="Arial" w:hAnsi="Arial"/>
                <w:sz w:val="18"/>
                <w:szCs w:val="18"/>
                <w:color w:val="auto"/>
              </w:rPr>
              <w:t>50</w:t>
            </w:r>
          </w:p>
        </w:tc>
      </w:tr>
      <w:tr>
        <w:trPr>
          <w:trHeight w:val="628"/>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gridSpan w:val="11"/>
          </w:tcPr>
          <w:p>
            <w:pPr>
              <w:ind w:left="4620"/>
              <w:spacing w:after="0"/>
              <w:rPr>
                <w:sz w:val="20"/>
                <w:szCs w:val="20"/>
                <w:color w:val="auto"/>
              </w:rPr>
            </w:pPr>
            <w:r>
              <w:rPr>
                <w:rFonts w:ascii="Arial" w:cs="Arial" w:eastAsia="Arial" w:hAnsi="Arial"/>
                <w:sz w:val="18"/>
                <w:szCs w:val="18"/>
                <w:color w:val="auto"/>
              </w:rPr>
              <w:t>1</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18"/>
        </w:trPr>
        <w:tc>
          <w:tcPr>
            <w:tcW w:w="5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21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These forward-looking statements include declarations regarding our management’s beliefs and current expectations. In some cases, you can identify forward-looking statements by terminology such as “may,” “will,” “should,” “could,” “intend,” “consider,” “expect,” “intend,” “plan,” “anticipate,” “believe,” “estimate,” “predict” or “continue” or the negative of such terms or other comparable terminology. Such statements are not guarantees of future performance as they are subject to certain assumptions, inherent risks and uncertainties in predicting future results. Important factors that could cause actual results to differ materially include, but are not limited to, the following:</w:t>
      </w:r>
    </w:p>
    <w:p>
      <w:pPr>
        <w:spacing w:after="0" w:line="215" w:lineRule="exact"/>
        <w:rPr>
          <w:sz w:val="20"/>
          <w:szCs w:val="20"/>
          <w:color w:val="auto"/>
        </w:rPr>
      </w:pPr>
    </w:p>
    <w:p>
      <w:pPr>
        <w:ind w:left="1040" w:right="400" w:hanging="573"/>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sources of liquidity; our ability to fund and recover advances, repay borrowings, and comply with debt covenants; and the adequacy of financial resources;</w:t>
      </w:r>
    </w:p>
    <w:p>
      <w:pPr>
        <w:spacing w:after="0" w:line="170"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servicing portfolio characteristics, including prepayment speeds, float balances, delinquency and advances rates;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or otherwise adapt our business, including the availability of new servicing opportunities and joint ventures;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our cost structure;</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real-estate owned disposition timelines;</w:t>
      </w:r>
    </w:p>
    <w:p>
      <w:pPr>
        <w:spacing w:after="0" w:line="248" w:lineRule="exact"/>
        <w:rPr>
          <w:rFonts w:ascii="Arial" w:cs="Arial" w:eastAsia="Arial" w:hAnsi="Arial"/>
          <w:sz w:val="16"/>
          <w:szCs w:val="16"/>
          <w:color w:val="auto"/>
        </w:rPr>
      </w:pPr>
    </w:p>
    <w:p>
      <w:pPr>
        <w:ind w:left="1040" w:hanging="573"/>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actions of loan owners, including mortgage-backed securities investors, regarding loan putbacks or legal actions;</w:t>
      </w:r>
    </w:p>
    <w:p>
      <w:pPr>
        <w:spacing w:after="0" w:line="248" w:lineRule="exact"/>
        <w:rPr>
          <w:rFonts w:ascii="Arial" w:cs="Arial" w:eastAsia="Arial" w:hAnsi="Arial"/>
          <w:sz w:val="16"/>
          <w:szCs w:val="16"/>
          <w:color w:val="auto"/>
        </w:rPr>
      </w:pPr>
    </w:p>
    <w:p>
      <w:pPr>
        <w:ind w:left="1040" w:right="500" w:hanging="573"/>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spacing w:after="0" w:line="170" w:lineRule="exact"/>
        <w:rPr>
          <w:rFonts w:ascii="Arial" w:cs="Arial" w:eastAsia="Arial" w:hAnsi="Arial"/>
          <w:sz w:val="18"/>
          <w:szCs w:val="18"/>
          <w:color w:val="auto"/>
        </w:rPr>
      </w:pPr>
    </w:p>
    <w:p>
      <w:pPr>
        <w:ind w:left="1040" w:hanging="573"/>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litigation or dispute resolution and inquiries from government agencies into past servicing and foreclosure practices; and</w:t>
      </w:r>
    </w:p>
    <w:p>
      <w:pPr>
        <w:spacing w:after="0" w:line="248" w:lineRule="exact"/>
        <w:rPr>
          <w:rFonts w:ascii="Arial" w:cs="Arial" w:eastAsia="Arial" w:hAnsi="Arial"/>
          <w:sz w:val="16"/>
          <w:szCs w:val="16"/>
          <w:color w:val="auto"/>
        </w:rPr>
      </w:pPr>
    </w:p>
    <w:p>
      <w:pPr>
        <w:ind w:left="1040" w:right="220" w:hanging="573"/>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w:t>
      </w:r>
    </w:p>
    <w:p>
      <w:pPr>
        <w:spacing w:after="0" w:line="19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Securities and Exchange Commission (SEC) including our Annual Report on Form 10-K for the year ended December 31, 2010, our quarterly reports on Form 10-Q and our current reports on Form 8-K. Forward-looking statements speak only as of the date they were made and should not be relied upon. Ocwen Financial Corporation undertakes no obligation to update or revise forward-looking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INTERIM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104,167</w:t>
            </w:r>
          </w:p>
        </w:tc>
        <w:tc>
          <w:tcPr>
            <w:tcW w:w="2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Restricted cash – for securitization investors</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1,507</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Loans held for resale, at lower of cost or fair value</w:t>
            </w:r>
          </w:p>
        </w:tc>
        <w:tc>
          <w:tcPr>
            <w:tcW w:w="2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23,193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Advances</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167,261</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184,833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Match funded advances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1,421,636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1,924,052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net – restricted for securitization investors</w:t>
            </w:r>
          </w:p>
        </w:tc>
        <w:tc>
          <w:tcPr>
            <w:tcW w:w="2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62,344</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Mortgage servicing rights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175,591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53,066</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139,086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12,810</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Premises and equipment, net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12,611</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2,288,749</w:t>
            </w:r>
          </w:p>
        </w:tc>
        <w:tc>
          <w:tcPr>
            <w:tcW w:w="240" w:type="dxa"/>
            <w:vAlign w:val="bottom"/>
            <w:shd w:val="clear" w:color="auto" w:fill="EAF9E8"/>
          </w:tcPr>
          <w:p>
            <w:pPr>
              <w:spacing w:after="0"/>
              <w:rPr>
                <w:sz w:val="22"/>
                <w:szCs w:val="22"/>
                <w:color w:val="auto"/>
              </w:rPr>
            </w:pP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2,921,409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Match funded liabilities</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1,041,998</w:t>
            </w:r>
          </w:p>
        </w:tc>
        <w:tc>
          <w:tcPr>
            <w:tcW w:w="240" w:type="dxa"/>
            <w:vAlign w:val="bottom"/>
            <w:shd w:val="clear" w:color="auto" w:fill="EAF9E8"/>
          </w:tcPr>
          <w:p>
            <w:pPr>
              <w:spacing w:after="0"/>
              <w:rPr>
                <w:sz w:val="18"/>
                <w:szCs w:val="18"/>
                <w:color w:val="auto"/>
              </w:rPr>
            </w:pP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Secured borrowings – owed to securitization investors</w:t>
            </w:r>
          </w:p>
        </w:tc>
        <w:tc>
          <w:tcPr>
            <w:tcW w:w="2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58,696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Lines of credit and other secured borrowings</w:t>
            </w:r>
          </w:p>
        </w:tc>
        <w:tc>
          <w:tcPr>
            <w:tcW w:w="2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41,458</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Servicer liabilities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Debt securities</w:t>
            </w:r>
          </w:p>
        </w:tc>
        <w:tc>
          <w:tcPr>
            <w:tcW w:w="2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82,554</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shd w:val="clear" w:color="auto" w:fill="EAF9E8"/>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EAF9E8"/>
          </w:tcPr>
          <w:p>
            <w:pPr>
              <w:spacing w:after="0"/>
              <w:rPr>
                <w:sz w:val="19"/>
                <w:szCs w:val="19"/>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1,332,923</w:t>
            </w: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2,016,592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Commitments and Contingencies (Note 22)</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Equity</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Ocwen Financial Corporation stockholders’ equity</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EAF9E8"/>
          </w:tcPr>
          <w:p>
            <w:pPr>
              <w:ind w:left="480"/>
              <w:spacing w:after="0" w:line="201" w:lineRule="exact"/>
              <w:rPr>
                <w:sz w:val="20"/>
                <w:szCs w:val="20"/>
                <w:color w:val="auto"/>
              </w:rPr>
            </w:pPr>
            <w:r>
              <w:rPr>
                <w:rFonts w:ascii="Arial" w:cs="Arial" w:eastAsia="Arial" w:hAnsi="Arial"/>
                <w:sz w:val="18"/>
                <w:szCs w:val="18"/>
                <w:color w:val="auto"/>
                <w:w w:val="98"/>
              </w:rPr>
              <w:t>Common stock, $.01 par value; 200,000,000 shares authorized; 100,948,647 and 100,726,947</w:t>
            </w:r>
          </w:p>
        </w:tc>
        <w:tc>
          <w:tcPr>
            <w:tcW w:w="26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EAF9E8"/>
          </w:tcPr>
          <w:p>
            <w:pPr>
              <w:ind w:left="640"/>
              <w:spacing w:after="0"/>
              <w:rPr>
                <w:sz w:val="20"/>
                <w:szCs w:val="20"/>
                <w:color w:val="auto"/>
              </w:rPr>
            </w:pPr>
            <w:r>
              <w:rPr>
                <w:rFonts w:ascii="Arial" w:cs="Arial" w:eastAsia="Arial" w:hAnsi="Arial"/>
                <w:sz w:val="18"/>
                <w:szCs w:val="18"/>
                <w:color w:val="auto"/>
              </w:rPr>
              <w:t>shares issued and outstanding at June 30, 2011 and December 31, 2010, respectively</w:t>
            </w:r>
          </w:p>
        </w:tc>
        <w:tc>
          <w:tcPr>
            <w:tcW w:w="260" w:type="dxa"/>
            <w:vAlign w:val="bottom"/>
            <w:shd w:val="clear" w:color="auto" w:fill="EAF9E8"/>
          </w:tcPr>
          <w:p>
            <w:pPr>
              <w:spacing w:after="0"/>
              <w:rPr>
                <w:sz w:val="20"/>
                <w:szCs w:val="20"/>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1,009</w:t>
            </w:r>
          </w:p>
        </w:tc>
        <w:tc>
          <w:tcPr>
            <w:tcW w:w="2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469,541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48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493,908</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445,456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Accumulated other comprehensive loss, net of income taxes</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(8,883)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640"/>
              <w:spacing w:after="0"/>
              <w:rPr>
                <w:sz w:val="20"/>
                <w:szCs w:val="20"/>
                <w:color w:val="auto"/>
              </w:rPr>
            </w:pPr>
            <w:r>
              <w:rPr>
                <w:rFonts w:ascii="Arial" w:cs="Arial" w:eastAsia="Arial" w:hAnsi="Arial"/>
                <w:sz w:val="18"/>
                <w:szCs w:val="18"/>
                <w:color w:val="auto"/>
              </w:rPr>
              <w:t>Total Ocwen Financial Corporation stockholders’ equity</w:t>
            </w:r>
          </w:p>
        </w:tc>
        <w:tc>
          <w:tcPr>
            <w:tcW w:w="260" w:type="dxa"/>
            <w:vAlign w:val="bottom"/>
            <w:tcBorders>
              <w:top w:val="single" w:sz="8" w:color="auto"/>
            </w:tcBorders>
            <w:shd w:val="clear" w:color="auto" w:fill="EAF9E8"/>
          </w:tcPr>
          <w:p>
            <w:pPr>
              <w:spacing w:after="0"/>
              <w:rPr>
                <w:sz w:val="18"/>
                <w:szCs w:val="18"/>
                <w:color w:val="auto"/>
              </w:rPr>
            </w:pPr>
          </w:p>
        </w:tc>
        <w:tc>
          <w:tcPr>
            <w:tcW w:w="12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955,575</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3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904,571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Non-controlling interest in subsidiaries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EAF9E8"/>
            </w:tcBorders>
            <w:shd w:val="clear" w:color="auto" w:fill="EAF9E8"/>
          </w:tcPr>
          <w:p>
            <w:pPr>
              <w:ind w:left="48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955,826</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19"/>
                <w:szCs w:val="19"/>
                <w:color w:val="auto"/>
              </w:rPr>
            </w:pP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904,817</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640"/>
              <w:spacing w:after="0"/>
              <w:rPr>
                <w:sz w:val="20"/>
                <w:szCs w:val="20"/>
                <w:color w:val="auto"/>
              </w:rPr>
            </w:pPr>
            <w:r>
              <w:rPr>
                <w:rFonts w:ascii="Arial" w:cs="Arial" w:eastAsia="Arial" w:hAnsi="Arial"/>
                <w:sz w:val="18"/>
                <w:szCs w:val="18"/>
                <w:color w:val="auto"/>
              </w:rPr>
              <w:t>Total liabilities and equity</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2,288,749</w:t>
            </w:r>
          </w:p>
        </w:tc>
        <w:tc>
          <w:tcPr>
            <w:tcW w:w="2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2,921,409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June 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Six months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95,837</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65,936</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198,342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9,140</w:t>
            </w:r>
          </w:p>
        </w:tc>
        <w:tc>
          <w:tcPr>
            <w:tcW w:w="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8,315</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16,936</w:t>
            </w: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105,837</w:t>
            </w:r>
          </w:p>
        </w:tc>
        <w:tc>
          <w:tcPr>
            <w:tcW w:w="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75,953</w:t>
            </w:r>
          </w:p>
        </w:tc>
        <w:tc>
          <w:tcPr>
            <w:tcW w:w="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216,843</w:t>
            </w: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151,539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15,253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13,089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30,040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9,926</w:t>
            </w:r>
          </w:p>
        </w:tc>
        <w:tc>
          <w:tcPr>
            <w:tcW w:w="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7,854</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18,849</w:t>
            </w: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Servicing and origination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1,301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2,458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Technology and communications</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6,373</w:t>
            </w:r>
          </w:p>
        </w:tc>
        <w:tc>
          <w:tcPr>
            <w:tcW w:w="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6,191</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13,245</w:t>
            </w: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3,270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9,134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Occupancy and equipment</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4,153</w:t>
            </w:r>
          </w:p>
        </w:tc>
        <w:tc>
          <w:tcPr>
            <w:tcW w:w="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3,870</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8,283</w:t>
            </w: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42,254</w:t>
            </w:r>
          </w:p>
        </w:tc>
        <w:tc>
          <w:tcPr>
            <w:tcW w:w="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44,658</w:t>
            </w:r>
          </w:p>
        </w:tc>
        <w:tc>
          <w:tcPr>
            <w:tcW w:w="2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83,453</w:t>
            </w: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79,835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63,583</w:t>
            </w:r>
          </w:p>
        </w:tc>
        <w:tc>
          <w:tcPr>
            <w:tcW w:w="14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31,295</w:t>
            </w:r>
          </w:p>
        </w:tc>
        <w:tc>
          <w:tcPr>
            <w:tcW w:w="1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133,390</w:t>
            </w: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71,704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2,289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4,458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(21,813)</w:t>
            </w:r>
          </w:p>
        </w:tc>
        <w:tc>
          <w:tcPr>
            <w:tcW w:w="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(13,359)</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(59,356)</w:t>
            </w: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Loss on trading securities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(1,710)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(1,616)</w:t>
            </w:r>
          </w:p>
        </w:tc>
        <w:tc>
          <w:tcPr>
            <w:tcW w:w="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(1,049)</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(2,520)</w:t>
            </w: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Equity in (loss) earnings of unconsolidated entities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(4,158)</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(22,547)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(18,033)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(57,865)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(26,997)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6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41,036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13,262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75,525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14,653</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(2,777)</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27,078</w:t>
            </w: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48,447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36,910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Net loss (income) attributable to non-controlling interest in</w:t>
            </w:r>
          </w:p>
        </w:tc>
        <w:tc>
          <w:tcPr>
            <w:tcW w:w="2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subsidiaries</w:t>
            </w:r>
          </w:p>
        </w:tc>
        <w:tc>
          <w:tcPr>
            <w:tcW w:w="2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b w:val="1"/>
                <w:bCs w:val="1"/>
                <w:color w:val="auto"/>
              </w:rPr>
              <w:t>Net income attributable to Ocwen Financial Corporation</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26,378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48,452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36,898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w w:val="92"/>
              </w:rPr>
              <w:t>Earnings per share attributable to Ocwen Financial Corporation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EAF9E8"/>
          </w:tcPr>
          <w:p>
            <w:pPr>
              <w:spacing w:after="0"/>
              <w:rPr>
                <w:sz w:val="20"/>
                <w:szCs w:val="20"/>
                <w:color w:val="auto"/>
              </w:rPr>
            </w:pP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0.26</w:t>
            </w:r>
          </w:p>
        </w:tc>
        <w:tc>
          <w:tcPr>
            <w:tcW w:w="2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0.48</w:t>
            </w:r>
          </w:p>
        </w:tc>
        <w:tc>
          <w:tcPr>
            <w:tcW w:w="4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0.45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100,943,402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w w:val="89"/>
              </w:rPr>
              <w:t>100,168,953</w:t>
            </w:r>
          </w:p>
        </w:tc>
        <w:tc>
          <w:tcPr>
            <w:tcW w:w="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w w:val="99"/>
              </w:rPr>
              <w:t>100,853,424</w:t>
            </w: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1"/>
              </w:rPr>
              <w:t>100,072,950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108,110,588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107,728,092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107,944,681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107,526,786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ind w:left="260" w:right="2660"/>
        <w:spacing w:after="0" w:line="266"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June 30,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Six months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26,383</w:t>
            </w:r>
          </w:p>
        </w:tc>
        <w:tc>
          <w:tcPr>
            <w:tcW w:w="54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16,039</w:t>
            </w:r>
          </w:p>
        </w:tc>
        <w:tc>
          <w:tcPr>
            <w:tcW w:w="42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48,447</w:t>
            </w:r>
          </w:p>
        </w:tc>
        <w:tc>
          <w:tcPr>
            <w:tcW w:w="4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36,910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Unrealized foreign currency translation income (loss ) arising</w:t>
            </w:r>
          </w:p>
        </w:tc>
        <w:tc>
          <w:tcPr>
            <w:tcW w:w="2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4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during the period (1)</w:t>
            </w:r>
          </w:p>
        </w:tc>
        <w:tc>
          <w:tcPr>
            <w:tcW w:w="22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EAF9E8"/>
          </w:tcPr>
          <w:p>
            <w:pPr>
              <w:spacing w:after="0"/>
              <w:rPr>
                <w:sz w:val="20"/>
                <w:szCs w:val="20"/>
                <w:color w:val="auto"/>
              </w:rPr>
            </w:pPr>
          </w:p>
        </w:tc>
        <w:tc>
          <w:tcPr>
            <w:tcW w:w="400" w:type="dxa"/>
            <w:vAlign w:val="bottom"/>
            <w:shd w:val="clear" w:color="auto" w:fill="EAF9E8"/>
          </w:tcPr>
          <w:p>
            <w:pPr>
              <w:spacing w:after="0"/>
              <w:rPr>
                <w:sz w:val="20"/>
                <w:szCs w:val="20"/>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w w:val="96"/>
              </w:rPr>
              <w:t>Change in deferred loss on cash flow hedges arising during the</w:t>
            </w:r>
          </w:p>
        </w:tc>
        <w:tc>
          <w:tcPr>
            <w:tcW w:w="2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4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period (2)</w:t>
            </w:r>
          </w:p>
        </w:tc>
        <w:tc>
          <w:tcPr>
            <w:tcW w:w="22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(2,177)</w:t>
            </w:r>
          </w:p>
        </w:tc>
        <w:tc>
          <w:tcPr>
            <w:tcW w:w="140" w:type="dxa"/>
            <w:vAlign w:val="bottom"/>
            <w:shd w:val="clear" w:color="auto" w:fill="EAF9E8"/>
          </w:tcPr>
          <w:p>
            <w:pPr>
              <w:spacing w:after="0"/>
              <w:rPr>
                <w:sz w:val="20"/>
                <w:szCs w:val="20"/>
                <w:color w:val="auto"/>
              </w:rPr>
            </w:pPr>
          </w:p>
        </w:tc>
        <w:tc>
          <w:tcPr>
            <w:tcW w:w="400" w:type="dxa"/>
            <w:vAlign w:val="bottom"/>
            <w:shd w:val="clear" w:color="auto" w:fill="EAF9E8"/>
          </w:tcPr>
          <w:p>
            <w:pPr>
              <w:spacing w:after="0"/>
              <w:rPr>
                <w:sz w:val="20"/>
                <w:szCs w:val="20"/>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(7,403)</w:t>
            </w:r>
          </w:p>
        </w:tc>
        <w:tc>
          <w:tcPr>
            <w:tcW w:w="14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(7,403)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ind w:left="160"/>
              <w:spacing w:after="0" w:line="201" w:lineRule="exact"/>
              <w:rPr>
                <w:sz w:val="20"/>
                <w:szCs w:val="20"/>
                <w:color w:val="auto"/>
              </w:rPr>
            </w:pPr>
            <w:r>
              <w:rPr>
                <w:rFonts w:ascii="Arial" w:cs="Arial" w:eastAsia="Arial" w:hAnsi="Arial"/>
                <w:sz w:val="18"/>
                <w:szCs w:val="18"/>
                <w:color w:val="auto"/>
              </w:rPr>
              <w:t>Reclassification adjustment for losses on cash flow hedges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included in net income (3)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EAF9E8"/>
          </w:tcPr>
          <w:p>
            <w:pPr>
              <w:ind w:left="480"/>
              <w:spacing w:after="0"/>
              <w:rPr>
                <w:sz w:val="20"/>
                <w:szCs w:val="20"/>
                <w:color w:val="auto"/>
              </w:rPr>
            </w:pPr>
            <w:r>
              <w:rPr>
                <w:rFonts w:ascii="Arial" w:cs="Arial" w:eastAsia="Arial" w:hAnsi="Arial"/>
                <w:sz w:val="18"/>
                <w:szCs w:val="18"/>
                <w:color w:val="auto"/>
              </w:rPr>
              <w:t>Net change in deferred loss on cash flow hedges</w:t>
            </w:r>
          </w:p>
        </w:tc>
        <w:tc>
          <w:tcPr>
            <w:tcW w:w="2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(1,610)</w:t>
            </w:r>
          </w:p>
        </w:tc>
        <w:tc>
          <w:tcPr>
            <w:tcW w:w="14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(7,383)</w:t>
            </w:r>
          </w:p>
        </w:tc>
        <w:tc>
          <w:tcPr>
            <w:tcW w:w="1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(4)</w:t>
            </w:r>
          </w:p>
        </w:tc>
        <w:tc>
          <w:tcPr>
            <w:tcW w:w="2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shd w:val="clear" w:color="auto" w:fill="EAF9E8"/>
          </w:tcPr>
          <w:p>
            <w:pPr>
              <w:ind w:left="320"/>
              <w:spacing w:after="0"/>
              <w:rPr>
                <w:sz w:val="20"/>
                <w:szCs w:val="20"/>
                <w:color w:val="auto"/>
              </w:rPr>
            </w:pPr>
            <w:r>
              <w:rPr>
                <w:rFonts w:ascii="Arial" w:cs="Arial" w:eastAsia="Arial" w:hAnsi="Arial"/>
                <w:sz w:val="18"/>
                <w:szCs w:val="18"/>
                <w:color w:val="auto"/>
                <w:w w:val="95"/>
              </w:rPr>
              <w:t>Total other comprehensive income (loss), net of income taxes</w:t>
            </w:r>
          </w:p>
        </w:tc>
        <w:tc>
          <w:tcPr>
            <w:tcW w:w="2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(1,602)</w:t>
            </w:r>
          </w:p>
        </w:tc>
        <w:tc>
          <w:tcPr>
            <w:tcW w:w="14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(7,397)</w:t>
            </w:r>
          </w:p>
        </w:tc>
        <w:tc>
          <w:tcPr>
            <w:tcW w:w="1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24,781</w:t>
            </w: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8,642</w:t>
            </w:r>
          </w:p>
        </w:tc>
        <w:tc>
          <w:tcPr>
            <w:tcW w:w="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48,966</w:t>
            </w:r>
          </w:p>
        </w:tc>
        <w:tc>
          <w:tcPr>
            <w:tcW w:w="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29,443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2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0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20" w:type="dxa"/>
            <w:vAlign w:val="bottom"/>
            <w:shd w:val="clear" w:color="auto" w:fill="EAF9E8"/>
          </w:tcPr>
          <w:p>
            <w:pPr>
              <w:spacing w:after="0"/>
              <w:rPr>
                <w:sz w:val="20"/>
                <w:szCs w:val="20"/>
                <w:color w:val="auto"/>
              </w:rPr>
            </w:pPr>
            <w:r>
              <w:rPr>
                <w:rFonts w:ascii="Arial" w:cs="Arial" w:eastAsia="Arial" w:hAnsi="Arial"/>
                <w:sz w:val="18"/>
                <w:szCs w:val="18"/>
                <w:color w:val="auto"/>
                <w:w w:val="92"/>
              </w:rPr>
              <w:t>Comprehensive income attributable to Ocwen Financial Corporation</w:t>
            </w:r>
          </w:p>
        </w:tc>
        <w:tc>
          <w:tcPr>
            <w:tcW w:w="220" w:type="dxa"/>
            <w:vAlign w:val="bottom"/>
            <w:shd w:val="clear" w:color="auto" w:fill="EAF9E8"/>
          </w:tcPr>
          <w:p>
            <w:pPr>
              <w:spacing w:after="0"/>
              <w:rPr>
                <w:sz w:val="20"/>
                <w:szCs w:val="20"/>
                <w:color w:val="auto"/>
              </w:rPr>
            </w:pP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24,776</w:t>
            </w:r>
          </w:p>
        </w:tc>
        <w:tc>
          <w:tcPr>
            <w:tcW w:w="2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40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8,646</w:t>
            </w:r>
          </w:p>
        </w:tc>
        <w:tc>
          <w:tcPr>
            <w:tcW w:w="2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48,961</w:t>
            </w:r>
          </w:p>
        </w:tc>
        <w:tc>
          <w:tcPr>
            <w:tcW w:w="4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54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benefit of $4 and $5 for the three months ended June 30, 2011 and 2010, respectively, and $(9) and $35 for the six months ended June 30, 2011 and 2010, respectively.</w:t>
      </w:r>
    </w:p>
    <w:p>
      <w:pPr>
        <w:spacing w:after="0" w:line="170" w:lineRule="exact"/>
        <w:rPr>
          <w:rFonts w:ascii="Arial" w:cs="Arial" w:eastAsia="Arial" w:hAnsi="Arial"/>
          <w:sz w:val="18"/>
          <w:szCs w:val="18"/>
          <w:color w:val="auto"/>
        </w:rPr>
      </w:pPr>
    </w:p>
    <w:p>
      <w:pPr>
        <w:ind w:left="580" w:right="36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benefit of $1,231 and $4,348 for the three months ended June 30, 2011 and 2010, respectively, and $158 and $4,348 for the six months ended June 30, 2011 and 2010, respectively.</w:t>
      </w:r>
    </w:p>
    <w:p>
      <w:pPr>
        <w:spacing w:after="0" w:line="170" w:lineRule="exact"/>
        <w:rPr>
          <w:rFonts w:ascii="Arial" w:cs="Arial" w:eastAsia="Arial" w:hAnsi="Arial"/>
          <w:sz w:val="18"/>
          <w:szCs w:val="18"/>
          <w:color w:val="auto"/>
        </w:rPr>
      </w:pPr>
    </w:p>
    <w:p>
      <w:pPr>
        <w:ind w:left="580" w:right="300" w:hanging="572"/>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$321 and $12 for the three months ended June 30, 2011 and 2010, respectively, and $409 and $12 for the six months ended June 30, 2011 and 2010, respectively.</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$1 for the six months ended June 30, 2011.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OCN Shareholders</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28"/>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2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Non-controlling</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560" w:type="dxa"/>
            <w:vAlign w:val="bottom"/>
            <w:gridSpan w:val="5"/>
            <w:vMerge w:val="restart"/>
          </w:tcPr>
          <w:p>
            <w:pPr>
              <w:jc w:val="right"/>
              <w:ind w:right="8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Retained</w:t>
            </w: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56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Loss,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 in</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380" w:type="dxa"/>
            <w:vAlign w:val="bottom"/>
            <w:tcBorders>
              <w:top w:val="single" w:sz="8" w:color="auto"/>
            </w:tcBorders>
            <w:gridSpan w:val="2"/>
          </w:tcPr>
          <w:p>
            <w:pPr>
              <w:ind w:left="300"/>
              <w:spacing w:after="0" w:line="149"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Net of Taxes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shd w:val="clear" w:color="auto" w:fill="EAF9E8"/>
          </w:tcPr>
          <w:p>
            <w:pPr>
              <w:spacing w:after="0" w:line="149" w:lineRule="exact"/>
              <w:rPr>
                <w:sz w:val="20"/>
                <w:szCs w:val="20"/>
                <w:color w:val="auto"/>
              </w:rPr>
            </w:pPr>
            <w:r>
              <w:rPr>
                <w:rFonts w:ascii="Arial" w:cs="Arial" w:eastAsia="Arial" w:hAnsi="Arial"/>
                <w:sz w:val="14"/>
                <w:szCs w:val="14"/>
                <w:b w:val="1"/>
                <w:bCs w:val="1"/>
                <w:color w:val="auto"/>
              </w:rPr>
              <w:t>Balance at December 31, 2010</w:t>
            </w:r>
          </w:p>
        </w:tc>
        <w:tc>
          <w:tcPr>
            <w:tcW w:w="104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rPr>
              <w:t>100,726,947</w:t>
            </w:r>
          </w:p>
        </w:tc>
        <w:tc>
          <w:tcPr>
            <w:tcW w:w="340" w:type="dxa"/>
            <w:vAlign w:val="bottom"/>
            <w:shd w:val="clear" w:color="auto" w:fill="EAF9E8"/>
          </w:tcPr>
          <w:p>
            <w:pPr>
              <w:spacing w:after="0"/>
              <w:rPr>
                <w:sz w:val="12"/>
                <w:szCs w:val="12"/>
                <w:color w:val="auto"/>
              </w:rPr>
            </w:pPr>
          </w:p>
        </w:tc>
        <w:tc>
          <w:tcPr>
            <w:tcW w:w="180" w:type="dxa"/>
            <w:vAlign w:val="bottom"/>
            <w:shd w:val="clear" w:color="auto" w:fill="EAF9E8"/>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1,007</w:t>
            </w:r>
          </w:p>
        </w:tc>
        <w:tc>
          <w:tcPr>
            <w:tcW w:w="340" w:type="dxa"/>
            <w:vAlign w:val="bottom"/>
            <w:gridSpan w:val="2"/>
            <w:shd w:val="clear" w:color="auto" w:fill="EAF9E8"/>
          </w:tcPr>
          <w:p>
            <w:pPr>
              <w:ind w:lef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467,500</w:t>
            </w:r>
          </w:p>
        </w:tc>
        <w:tc>
          <w:tcPr>
            <w:tcW w:w="300" w:type="dxa"/>
            <w:vAlign w:val="bottom"/>
            <w:gridSpan w:val="2"/>
            <w:shd w:val="clear" w:color="auto" w:fill="EAF9E8"/>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445,456</w:t>
            </w:r>
          </w:p>
        </w:tc>
        <w:tc>
          <w:tcPr>
            <w:tcW w:w="100" w:type="dxa"/>
            <w:vAlign w:val="bottom"/>
            <w:shd w:val="clear" w:color="auto" w:fill="EAF9E8"/>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(9,392)</w:t>
            </w:r>
          </w:p>
        </w:tc>
        <w:tc>
          <w:tcPr>
            <w:tcW w:w="240" w:type="dxa"/>
            <w:vAlign w:val="bottom"/>
            <w:gridSpan w:val="2"/>
            <w:shd w:val="clear" w:color="auto" w:fill="EAF9E8"/>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246</w:t>
            </w:r>
          </w:p>
        </w:tc>
        <w:tc>
          <w:tcPr>
            <w:tcW w:w="340" w:type="dxa"/>
            <w:vAlign w:val="bottom"/>
            <w:gridSpan w:val="2"/>
            <w:shd w:val="clear" w:color="auto" w:fill="EAF9E8"/>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904,817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3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48,452</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48,447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Exercise of common stock</w:t>
            </w:r>
          </w:p>
        </w:tc>
        <w:tc>
          <w:tcPr>
            <w:tcW w:w="104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options</w:t>
            </w:r>
          </w:p>
        </w:tc>
        <w:tc>
          <w:tcPr>
            <w:tcW w:w="138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210,336</w:t>
            </w:r>
          </w:p>
        </w:tc>
        <w:tc>
          <w:tcPr>
            <w:tcW w:w="180" w:type="dxa"/>
            <w:vAlign w:val="bottom"/>
            <w:shd w:val="clear" w:color="auto" w:fill="EAF9E8"/>
          </w:tcPr>
          <w:p>
            <w:pPr>
              <w:spacing w:after="0"/>
              <w:rPr>
                <w:sz w:val="14"/>
                <w:szCs w:val="14"/>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w:t>
            </w:r>
          </w:p>
        </w:tc>
        <w:tc>
          <w:tcPr>
            <w:tcW w:w="2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577</w:t>
            </w:r>
          </w:p>
        </w:tc>
        <w:tc>
          <w:tcPr>
            <w:tcW w:w="14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22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Equity-based compensation</w:t>
            </w:r>
          </w:p>
        </w:tc>
        <w:tc>
          <w:tcPr>
            <w:tcW w:w="13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11,364</w:t>
            </w:r>
          </w:p>
        </w:tc>
        <w:tc>
          <w:tcPr>
            <w:tcW w:w="1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1,464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Other comprehensive income,</w:t>
            </w:r>
          </w:p>
        </w:tc>
        <w:tc>
          <w:tcPr>
            <w:tcW w:w="104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net of income taxes</w:t>
            </w:r>
          </w:p>
        </w:tc>
        <w:tc>
          <w:tcPr>
            <w:tcW w:w="10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22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509</w:t>
            </w:r>
          </w:p>
        </w:tc>
        <w:tc>
          <w:tcPr>
            <w:tcW w:w="1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10</w:t>
            </w:r>
          </w:p>
        </w:tc>
        <w:tc>
          <w:tcPr>
            <w:tcW w:w="14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shd w:val="clear" w:color="auto" w:fill="EAF9E8"/>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June 30, 2011</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100,948,647</w:t>
            </w:r>
          </w:p>
        </w:tc>
        <w:tc>
          <w:tcPr>
            <w:tcW w:w="34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1,009</w:t>
            </w: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469,541</w:t>
            </w: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493,908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(8,883)</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251</w:t>
            </w: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955,826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OCN Shareholders</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2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Non-controlling</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560" w:type="dxa"/>
            <w:vAlign w:val="bottom"/>
            <w:gridSpan w:val="5"/>
            <w:vMerge w:val="restart"/>
          </w:tcPr>
          <w:p>
            <w:pPr>
              <w:jc w:val="right"/>
              <w:ind w:right="8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Retained</w:t>
            </w: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56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Loss,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 in</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380" w:type="dxa"/>
            <w:vAlign w:val="bottom"/>
            <w:tcBorders>
              <w:top w:val="single" w:sz="8" w:color="auto"/>
            </w:tcBorders>
            <w:gridSpan w:val="2"/>
          </w:tcPr>
          <w:p>
            <w:pPr>
              <w:ind w:left="300"/>
              <w:spacing w:after="0" w:line="149"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Net of Taxes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060" w:type="dxa"/>
            <w:vAlign w:val="bottom"/>
            <w:shd w:val="clear" w:color="auto" w:fill="EAF9E8"/>
          </w:tcPr>
          <w:p>
            <w:pPr>
              <w:spacing w:after="0" w:line="126" w:lineRule="exact"/>
              <w:rPr>
                <w:sz w:val="20"/>
                <w:szCs w:val="20"/>
                <w:color w:val="auto"/>
              </w:rPr>
            </w:pPr>
            <w:r>
              <w:rPr>
                <w:rFonts w:ascii="Arial" w:cs="Arial" w:eastAsia="Arial" w:hAnsi="Arial"/>
                <w:sz w:val="14"/>
                <w:szCs w:val="14"/>
                <w:b w:val="1"/>
                <w:bCs w:val="1"/>
                <w:color w:val="auto"/>
              </w:rPr>
              <w:t>Balance at December 31,</w:t>
            </w:r>
          </w:p>
        </w:tc>
        <w:tc>
          <w:tcPr>
            <w:tcW w:w="1040" w:type="dxa"/>
            <w:vAlign w:val="bottom"/>
            <w:shd w:val="clear" w:color="auto" w:fill="EAF9E8"/>
          </w:tcPr>
          <w:p>
            <w:pPr>
              <w:spacing w:after="0"/>
              <w:rPr>
                <w:sz w:val="10"/>
                <w:szCs w:val="10"/>
                <w:color w:val="auto"/>
              </w:rPr>
            </w:pPr>
          </w:p>
        </w:tc>
        <w:tc>
          <w:tcPr>
            <w:tcW w:w="340" w:type="dxa"/>
            <w:vAlign w:val="bottom"/>
            <w:shd w:val="clear" w:color="auto" w:fill="EAF9E8"/>
          </w:tcPr>
          <w:p>
            <w:pPr>
              <w:spacing w:after="0"/>
              <w:rPr>
                <w:sz w:val="10"/>
                <w:szCs w:val="10"/>
                <w:color w:val="auto"/>
              </w:rPr>
            </w:pPr>
          </w:p>
        </w:tc>
        <w:tc>
          <w:tcPr>
            <w:tcW w:w="180" w:type="dxa"/>
            <w:vAlign w:val="bottom"/>
            <w:shd w:val="clear" w:color="auto" w:fill="EAF9E8"/>
          </w:tcPr>
          <w:p>
            <w:pPr>
              <w:spacing w:after="0"/>
              <w:rPr>
                <w:sz w:val="10"/>
                <w:szCs w:val="10"/>
                <w:color w:val="auto"/>
              </w:rPr>
            </w:pPr>
          </w:p>
        </w:tc>
        <w:tc>
          <w:tcPr>
            <w:tcW w:w="86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920" w:type="dxa"/>
            <w:vAlign w:val="bottom"/>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880" w:type="dxa"/>
            <w:vAlign w:val="bottom"/>
            <w:shd w:val="clear" w:color="auto" w:fill="EAF9E8"/>
          </w:tcPr>
          <w:p>
            <w:pPr>
              <w:spacing w:after="0"/>
              <w:rPr>
                <w:sz w:val="10"/>
                <w:szCs w:val="10"/>
                <w:color w:val="auto"/>
              </w:rPr>
            </w:pPr>
          </w:p>
        </w:tc>
        <w:tc>
          <w:tcPr>
            <w:tcW w:w="3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920" w:type="dxa"/>
            <w:vAlign w:val="bottom"/>
            <w:shd w:val="clear" w:color="auto" w:fill="EAF9E8"/>
          </w:tcPr>
          <w:p>
            <w:pPr>
              <w:spacing w:after="0"/>
              <w:rPr>
                <w:sz w:val="10"/>
                <w:szCs w:val="10"/>
                <w:color w:val="auto"/>
              </w:rPr>
            </w:pPr>
          </w:p>
        </w:tc>
        <w:tc>
          <w:tcPr>
            <w:tcW w:w="18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920" w:type="dxa"/>
            <w:vAlign w:val="bottom"/>
            <w:shd w:val="clear" w:color="auto" w:fill="EAF9E8"/>
          </w:tcPr>
          <w:p>
            <w:pPr>
              <w:spacing w:after="0"/>
              <w:rPr>
                <w:sz w:val="10"/>
                <w:szCs w:val="10"/>
                <w:color w:val="auto"/>
              </w:rPr>
            </w:pPr>
          </w:p>
        </w:tc>
        <w:tc>
          <w:tcPr>
            <w:tcW w:w="18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8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shd w:val="clear" w:color="auto" w:fill="EAF9E8"/>
          </w:tcPr>
          <w:p>
            <w:pPr>
              <w:ind w:left="160"/>
              <w:spacing w:after="0"/>
              <w:rPr>
                <w:sz w:val="20"/>
                <w:szCs w:val="20"/>
                <w:color w:val="auto"/>
              </w:rPr>
            </w:pPr>
            <w:r>
              <w:rPr>
                <w:rFonts w:ascii="Arial" w:cs="Arial" w:eastAsia="Arial" w:hAnsi="Arial"/>
                <w:sz w:val="14"/>
                <w:szCs w:val="14"/>
                <w:b w:val="1"/>
                <w:bCs w:val="1"/>
                <w:color w:val="auto"/>
              </w:rPr>
              <w:t>2009</w:t>
            </w:r>
          </w:p>
        </w:tc>
        <w:tc>
          <w:tcPr>
            <w:tcW w:w="10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99,956,833</w:t>
            </w:r>
          </w:p>
        </w:tc>
        <w:tc>
          <w:tcPr>
            <w:tcW w:w="340" w:type="dxa"/>
            <w:vAlign w:val="bottom"/>
            <w:shd w:val="clear" w:color="auto" w:fill="EAF9E8"/>
          </w:tcPr>
          <w:p>
            <w:pPr>
              <w:spacing w:after="0"/>
              <w:rPr>
                <w:sz w:val="14"/>
                <w:szCs w:val="14"/>
                <w:color w:val="auto"/>
              </w:rPr>
            </w:pPr>
          </w:p>
        </w:tc>
        <w:tc>
          <w:tcPr>
            <w:tcW w:w="18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1,000</w:t>
            </w:r>
          </w:p>
        </w:tc>
        <w:tc>
          <w:tcPr>
            <w:tcW w:w="34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459,542</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405,198</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(129)</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252</w:t>
            </w: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865,863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Adoption of ASC 810 (FASB</w:t>
            </w: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160"/>
              <w:spacing w:after="0" w:line="149" w:lineRule="exact"/>
              <w:rPr>
                <w:sz w:val="20"/>
                <w:szCs w:val="20"/>
                <w:color w:val="auto"/>
              </w:rPr>
            </w:pPr>
            <w:r>
              <w:rPr>
                <w:rFonts w:ascii="Arial" w:cs="Arial" w:eastAsia="Arial" w:hAnsi="Arial"/>
                <w:sz w:val="14"/>
                <w:szCs w:val="14"/>
                <w:color w:val="auto"/>
              </w:rPr>
              <w:t>Statement No. 167), net of</w:t>
            </w: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160"/>
              <w:spacing w:after="0"/>
              <w:rPr>
                <w:sz w:val="20"/>
                <w:szCs w:val="20"/>
                <w:color w:val="auto"/>
              </w:rPr>
            </w:pPr>
            <w:r>
              <w:rPr>
                <w:rFonts w:ascii="Arial" w:cs="Arial" w:eastAsia="Arial" w:hAnsi="Arial"/>
                <w:sz w:val="14"/>
                <w:szCs w:val="14"/>
                <w:color w:val="auto"/>
              </w:rPr>
              <w:t>tax</w:t>
            </w: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color w:val="auto"/>
              </w:rPr>
              <w:t>2,274</w:t>
            </w:r>
          </w:p>
        </w:tc>
        <w:tc>
          <w:tcPr>
            <w:tcW w:w="1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Net income</w:t>
            </w:r>
          </w:p>
        </w:tc>
        <w:tc>
          <w:tcPr>
            <w:tcW w:w="138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20" w:type="dxa"/>
            <w:vAlign w:val="bottom"/>
            <w:gridSpan w:val="2"/>
            <w:shd w:val="clear" w:color="auto" w:fill="EAF9E8"/>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220" w:type="dxa"/>
            <w:vAlign w:val="bottom"/>
            <w:gridSpan w:val="2"/>
            <w:shd w:val="clear" w:color="auto" w:fill="EAF9E8"/>
          </w:tcPr>
          <w:p>
            <w:pPr>
              <w:jc w:val="right"/>
              <w:ind w:right="340"/>
              <w:spacing w:after="0" w:line="149" w:lineRule="exact"/>
              <w:rPr>
                <w:sz w:val="20"/>
                <w:szCs w:val="20"/>
                <w:color w:val="auto"/>
              </w:rPr>
            </w:pPr>
            <w:r>
              <w:rPr>
                <w:rFonts w:ascii="Arial" w:cs="Arial" w:eastAsia="Arial" w:hAnsi="Arial"/>
                <w:sz w:val="14"/>
                <w:szCs w:val="14"/>
                <w:color w:val="auto"/>
              </w:rPr>
              <w:t>36,898</w:t>
            </w:r>
          </w:p>
        </w:tc>
        <w:tc>
          <w:tcPr>
            <w:tcW w:w="10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14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36,910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Exercise of common stock</w:t>
            </w: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160"/>
              <w:spacing w:after="0"/>
              <w:rPr>
                <w:sz w:val="20"/>
                <w:szCs w:val="20"/>
                <w:color w:val="auto"/>
              </w:rPr>
            </w:pPr>
            <w:r>
              <w:rPr>
                <w:rFonts w:ascii="Arial" w:cs="Arial" w:eastAsia="Arial" w:hAnsi="Arial"/>
                <w:sz w:val="14"/>
                <w:szCs w:val="14"/>
                <w:color w:val="auto"/>
              </w:rPr>
              <w:t>options</w:t>
            </w: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217,775</w:t>
            </w:r>
          </w:p>
        </w:tc>
        <w:tc>
          <w:tcPr>
            <w:tcW w:w="1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1,023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Issuance of common stock</w:t>
            </w:r>
          </w:p>
        </w:tc>
        <w:tc>
          <w:tcPr>
            <w:tcW w:w="104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awards to employees</w:t>
            </w:r>
          </w:p>
        </w:tc>
        <w:tc>
          <w:tcPr>
            <w:tcW w:w="138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9,865</w:t>
            </w:r>
          </w:p>
        </w:tc>
        <w:tc>
          <w:tcPr>
            <w:tcW w:w="180" w:type="dxa"/>
            <w:vAlign w:val="bottom"/>
            <w:shd w:val="clear" w:color="auto" w:fill="EAF9E8"/>
          </w:tcPr>
          <w:p>
            <w:pPr>
              <w:spacing w:after="0"/>
              <w:rPr>
                <w:sz w:val="14"/>
                <w:szCs w:val="14"/>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22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Equity-based compensation</w:t>
            </w:r>
          </w:p>
        </w:tc>
        <w:tc>
          <w:tcPr>
            <w:tcW w:w="13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7,654</w:t>
            </w:r>
          </w:p>
        </w:tc>
        <w:tc>
          <w:tcPr>
            <w:tcW w:w="1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Other comprehensive loss, net</w:t>
            </w:r>
          </w:p>
        </w:tc>
        <w:tc>
          <w:tcPr>
            <w:tcW w:w="104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86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of income taxes</w:t>
            </w:r>
          </w:p>
        </w:tc>
        <w:tc>
          <w:tcPr>
            <w:tcW w:w="10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220" w:type="dxa"/>
            <w:vAlign w:val="bottom"/>
            <w:gridSpan w:val="2"/>
            <w:shd w:val="clear" w:color="auto" w:fill="EAF9E8"/>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(7,443)</w:t>
            </w:r>
          </w:p>
        </w:tc>
        <w:tc>
          <w:tcPr>
            <w:tcW w:w="14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(24)</w:t>
            </w:r>
          </w:p>
        </w:tc>
        <w:tc>
          <w:tcPr>
            <w:tcW w:w="14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92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(7,467)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shd w:val="clear" w:color="auto" w:fill="EAF9E8"/>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Balance at June 30, 2010</w:t>
            </w:r>
          </w:p>
        </w:tc>
        <w:tc>
          <w:tcPr>
            <w:tcW w:w="1040" w:type="dxa"/>
            <w:vAlign w:val="bottom"/>
          </w:tcPr>
          <w:p>
            <w:pPr>
              <w:jc w:val="right"/>
              <w:spacing w:after="0"/>
              <w:rPr>
                <w:sz w:val="20"/>
                <w:szCs w:val="20"/>
                <w:color w:val="auto"/>
              </w:rPr>
            </w:pPr>
            <w:r>
              <w:rPr>
                <w:rFonts w:ascii="Arial" w:cs="Arial" w:eastAsia="Arial" w:hAnsi="Arial"/>
                <w:sz w:val="14"/>
                <w:szCs w:val="14"/>
                <w:color w:val="auto"/>
              </w:rPr>
              <w:t>100,192,127</w:t>
            </w:r>
          </w:p>
        </w:tc>
        <w:tc>
          <w:tcPr>
            <w:tcW w:w="34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1,002</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461,890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4"/>
                <w:szCs w:val="14"/>
                <w:color w:val="auto"/>
              </w:rPr>
              <w:t>444,370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(7,572)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240</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899,930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3"/>
              </w:rPr>
              <w:t>For the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48,447</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18,849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debt discount</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7,343</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Amortization of debt issuance costs – senior secured term loan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8,604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887</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Write-off of investment in commercial real estate property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Reversal of valuation allowance on mortgage servicing assets</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(701)</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Loss on trading securities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2,520</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Equity in loss (earnings) of unconsolidated entities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Gain on extinguishment of debt</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(1,246)</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(Increase) decrease in deferred tax assets,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(631)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cash provided by trading activities</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Net cash provided by loans held for resale activities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20"/>
              <w:spacing w:after="0"/>
              <w:rPr>
                <w:sz w:val="20"/>
                <w:szCs w:val="20"/>
                <w:color w:val="auto"/>
              </w:rPr>
            </w:pPr>
            <w:r>
              <w:rPr>
                <w:rFonts w:ascii="Arial" w:cs="Arial" w:eastAsia="Arial" w:hAnsi="Arial"/>
                <w:sz w:val="18"/>
                <w:szCs w:val="18"/>
                <w:color w:val="auto"/>
              </w:rPr>
              <w:t>Decrease in advances and match funded advances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518,493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Decrease in receivables and other assets, net</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53,675</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20"/>
              <w:spacing w:after="0"/>
              <w:rPr>
                <w:sz w:val="20"/>
                <w:szCs w:val="20"/>
                <w:color w:val="auto"/>
              </w:rPr>
            </w:pPr>
            <w:r>
              <w:rPr>
                <w:rFonts w:ascii="Arial" w:cs="Arial" w:eastAsia="Arial" w:hAnsi="Arial"/>
                <w:sz w:val="18"/>
                <w:szCs w:val="18"/>
                <w:color w:val="auto"/>
              </w:rPr>
              <w:t>Decrease in servicer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Decrease in other liabilities</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(32,334)</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630,384</w:t>
            </w:r>
          </w:p>
        </w:tc>
        <w:tc>
          <w:tcPr>
            <w:tcW w:w="2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360,795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Purchase of mortgage servicing rights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2"/>
              </w:rPr>
              <w:t>Acquisition of advances and other assets in connection with the purchase of mortgage servicing rights</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(528,882)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160"/>
              <w:spacing w:after="0" w:line="201" w:lineRule="exact"/>
              <w:rPr>
                <w:sz w:val="20"/>
                <w:szCs w:val="20"/>
                <w:color w:val="auto"/>
              </w:rPr>
            </w:pPr>
            <w:r>
              <w:rPr>
                <w:rFonts w:ascii="Arial" w:cs="Arial" w:eastAsia="Arial" w:hAnsi="Arial"/>
                <w:sz w:val="18"/>
                <w:szCs w:val="18"/>
                <w:color w:val="auto"/>
                <w:w w:val="96"/>
              </w:rPr>
              <w:t>Distributions of capital from unconsolidated entities – Ocwen Structured Investments, LLC, Ocwen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Nonperforming Loans, LLC and Ocwen REO, LLC</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1,639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in unconsolidated entity – Correspondent One S.A.</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(3,025)</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Additions to premises and equipment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sales of real estate</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(Increase) decrease in restricted cash – for securitization investors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Principal payments received on loans – restricted for securitization investors</w:t>
            </w:r>
          </w:p>
        </w:tc>
        <w:tc>
          <w:tcPr>
            <w:tcW w:w="20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3,512</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cash provided (used) by investing activities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1,423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(547,351)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 of) proceeds from match funded liabilities</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(440,531)</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369,481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Repayment of secured borrowings – owed to securitization investors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(4,009)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lines of credit and other secured borrowings</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Repayment of lines of credit and other secured borrowings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(210,712)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(53,904)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 of investment line</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Repurchase of debt securities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Exercise of common stock options</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836</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80" w:type="dxa"/>
            <w:vAlign w:val="bottom"/>
            <w:shd w:val="clear" w:color="auto" w:fill="EAF9E8"/>
          </w:tcPr>
          <w:p>
            <w:pPr>
              <w:spacing w:after="0"/>
              <w:rPr>
                <w:sz w:val="20"/>
                <w:szCs w:val="20"/>
                <w:color w:val="auto"/>
              </w:rPr>
            </w:pPr>
            <w:r>
              <w:rPr>
                <w:rFonts w:ascii="Arial" w:cs="Arial" w:eastAsia="Arial" w:hAnsi="Arial"/>
                <w:sz w:val="18"/>
                <w:szCs w:val="18"/>
                <w:color w:val="auto"/>
              </w:rPr>
              <w:t>Net cash (used) provided by financing activities</w:t>
            </w:r>
          </w:p>
        </w:tc>
        <w:tc>
          <w:tcPr>
            <w:tcW w:w="2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(655,436)</w:t>
            </w:r>
          </w:p>
        </w:tc>
        <w:tc>
          <w:tcPr>
            <w:tcW w:w="2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239,023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EAF9E8"/>
          </w:tcPr>
          <w:p>
            <w:pPr>
              <w:spacing w:after="0"/>
              <w:rPr>
                <w:sz w:val="20"/>
                <w:szCs w:val="20"/>
                <w:color w:val="auto"/>
              </w:rPr>
            </w:pPr>
            <w:r>
              <w:rPr>
                <w:rFonts w:ascii="Arial" w:cs="Arial" w:eastAsia="Arial" w:hAnsi="Arial"/>
                <w:sz w:val="18"/>
                <w:szCs w:val="18"/>
                <w:color w:val="auto"/>
              </w:rPr>
              <w:t>Net (decrease) increase in cash</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(23,629)</w:t>
            </w:r>
          </w:p>
        </w:tc>
        <w:tc>
          <w:tcPr>
            <w:tcW w:w="2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52,467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80" w:type="dxa"/>
            <w:vAlign w:val="bottom"/>
            <w:shd w:val="clear" w:color="auto" w:fill="EAF9E8"/>
          </w:tcPr>
          <w:p>
            <w:pPr>
              <w:spacing w:after="0"/>
              <w:rPr>
                <w:sz w:val="20"/>
                <w:szCs w:val="20"/>
                <w:color w:val="auto"/>
              </w:rPr>
            </w:pPr>
            <w:r>
              <w:rPr>
                <w:rFonts w:ascii="Arial" w:cs="Arial" w:eastAsia="Arial" w:hAnsi="Arial"/>
                <w:sz w:val="18"/>
                <w:szCs w:val="18"/>
                <w:color w:val="auto"/>
              </w:rPr>
              <w:t>Cash at end of period</w:t>
            </w:r>
          </w:p>
        </w:tc>
        <w:tc>
          <w:tcPr>
            <w:tcW w:w="4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104,167</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143,386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5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Ocwen Financial Corporation (NYSE: OCN) (Ocwen or OCN), through its subsidiaries, is a leading provider of residential and commercial mortgage loan servicing, special servicing and asset management services. Ocwen is headquartered in Atlanta, Georgia with offices in West Palm Beach, Florida, Orlando, Florida, the District of Columbia and support operations in India and Uruguay. Ocwen is a Florida corporation organized in February 1988. Ocwen Loan Servicing, LLC (OLS), a wholly-owned subsidiary of Ocwen, is a licensed mortgage servicer in all 50 states, the District of Columbia and two U.S. territories.</w:t>
      </w:r>
    </w:p>
    <w:p>
      <w:pPr>
        <w:spacing w:after="0" w:line="21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At June 30, 2011, Ocwen owned all of the outstanding stock of its primary subsidiaries: OLS, Ocwen Financial Solutions, Private Limited (OFSPL) and Investors Mortgage Insurance Holding Company. OCN also holds a 25% interest in Ocwen Structured Investments, LLC (OSI) and an approximate 25% interest in Ocwen Nonperforming Loans, LLC (ONL) and Ocwen REO, LLC (OREO). In March 2011, Ocwen and Altisource Portfolio Solutions S.A. (Altisource) each acquired a 50% equity interest in a newly formed entity, Correspondent One S.A. (Correspondent 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financial statements contain all adjustments, consisting only of normal recurring accruals, necessary for a fair presentation. The results of operations and other data for the three and six months ended June 30, 2011 are not necessarily indicative of the results that may be expected for any other interim period or for the entire year ending December 31, 2011. The unaudited interim consolidated financial statements presented herein should be read in conjunction with the audited consolidated financial statements and related notes thereto included in our Annual Report on Form 10-K for the year ended December 31, 2010.</w:t>
      </w:r>
    </w:p>
    <w:p>
      <w:pPr>
        <w:spacing w:after="0" w:line="2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Material estimates that are particularly significant relate to our fair value measurements, the provision for potential estimates that may arise from litigation proceedings, the amortization of mortgage servicing rights (MSRs) and the valuation of goodwill and deferred tax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financial statements include the accounts of Ocwen and its majority-owned subsidiaries. We apply the equity method of accounting to investments when the entity is not a variable interest entity (VIE), and we are able to exercise significant influence, but not control, over the policies and procedures of the entity but own 50% or less of the voting securities. We account for our investments in OSI, ONL, OREO and Correspondent One using the equity method. We have eliminated intercompany accounts and transactions in consolidation.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5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evaluate each special purpose entity (SPE) for classification as a VIE. When an SPE meets the definition of a VIE and we determine that Ocwen is the primary beneficiary, we include the SPE in our consolidated financial statements.</w:t>
      </w:r>
    </w:p>
    <w:p>
      <w:pPr>
        <w:spacing w:after="0" w:line="19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have determined that the SPEs created in connection with the match funded financing facilities discussed below are VIEs of which we are the primary beneficiary. We have also determined that we are the primary beneficiary for certain residential mortgage loan securitization trusts. The accounts of these SPEs are included in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 or Asset Backed Financing Arrangements</w:t>
      </w:r>
    </w:p>
    <w:p>
      <w:pPr>
        <w:spacing w:after="0" w:line="252"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Ocwen or its subsidiaries have been a transferor in connection with a number of securitizations or asset-backed financing arrangements. We have continuing involvement with the financial assets of eight of the securitizations and three of the asset-backed financing arrangements. We also hold residual interests in and are the servicer for three securitizations where we were not a transferor.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right="120" w:firstLine="324"/>
        <w:spacing w:after="0" w:line="277" w:lineRule="auto"/>
        <w:rPr>
          <w:sz w:val="20"/>
          <w:szCs w:val="20"/>
          <w:color w:val="auto"/>
        </w:rPr>
      </w:pPr>
      <w:r>
        <w:rPr>
          <w:rFonts w:ascii="Arial" w:cs="Arial" w:eastAsia="Arial" w:hAnsi="Arial"/>
          <w:sz w:val="18"/>
          <w:szCs w:val="18"/>
          <w:color w:val="auto"/>
        </w:rPr>
        <w:t>We have aggregated these securitizations and asset-backed financing arrangements into two groups: (1) securitizations of residential mortgage loans and (2) financings of advances on loans serviced for others.</w:t>
      </w:r>
    </w:p>
    <w:p>
      <w:pPr>
        <w:spacing w:after="0" w:line="197" w:lineRule="exact"/>
        <w:rPr>
          <w:sz w:val="20"/>
          <w:szCs w:val="20"/>
          <w:color w:val="auto"/>
        </w:rPr>
      </w:pPr>
    </w:p>
    <w:p>
      <w:pPr>
        <w:jc w:val="both"/>
        <w:ind w:right="320" w:firstLine="324"/>
        <w:spacing w:after="0" w:line="259" w:lineRule="auto"/>
        <w:rPr>
          <w:sz w:val="20"/>
          <w:szCs w:val="20"/>
          <w:color w:val="auto"/>
        </w:rPr>
      </w:pPr>
      <w:r>
        <w:rPr>
          <w:rFonts w:ascii="Arial" w:cs="Arial" w:eastAsia="Arial" w:hAnsi="Arial"/>
          <w:sz w:val="18"/>
          <w:szCs w:val="18"/>
          <w:i w:val="1"/>
          <w:iCs w:val="1"/>
          <w:color w:val="auto"/>
        </w:rPr>
        <w:t xml:space="preserve">Securitizations of Residential Mortgage Loans. </w:t>
      </w:r>
      <w:r>
        <w:rPr>
          <w:rFonts w:ascii="Arial" w:cs="Arial" w:eastAsia="Arial" w:hAnsi="Arial"/>
          <w:sz w:val="18"/>
          <w:szCs w:val="18"/>
          <w:color w:val="auto"/>
        </w:rPr>
        <w:t>In prior years, we securitized residential mortgage loans using certain trusts. These transactions were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sales even though we continued to be involved with the trusts, typically by acting as the servicer or sub-servicer for the loans held by the trust and by retaining a beneficial ownership interest in the trust. The beneficial interests we held consisted of both subordinate and residual securities that were either retained at the time of the securitization or subsequently acquired.</w:t>
      </w:r>
    </w:p>
    <w:p>
      <w:pPr>
        <w:spacing w:after="0" w:line="21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For four of these trusts, we have determined that our involvement represents a variable interest and that we are the primary beneficiary. We have included these four trusts in our consolidated financial statements. Our involvement with each of the remaining trusts does not represent a variable interest, and therefore, we exclude them from our consolidated financial statements.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determined that Ocwen is the primary beneficiary of the four consolidated securitization trusts because:</w:t>
      </w:r>
    </w:p>
    <w:p>
      <w:pPr>
        <w:spacing w:after="0" w:line="252" w:lineRule="exact"/>
        <w:rPr>
          <w:sz w:val="20"/>
          <w:szCs w:val="20"/>
          <w:color w:val="auto"/>
        </w:rPr>
      </w:pPr>
    </w:p>
    <w:p>
      <w:pPr>
        <w:ind w:left="1040" w:right="20" w:hanging="573"/>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the servicer we have the right to direct the activities that most significantly impact the economic performance of the trusts through our ability to manage the delinquent assets of the trusts, and</w:t>
      </w:r>
    </w:p>
    <w:p>
      <w:pPr>
        <w:spacing w:after="0" w:line="170" w:lineRule="exact"/>
        <w:rPr>
          <w:rFonts w:ascii="Arial" w:cs="Arial" w:eastAsia="Arial" w:hAnsi="Arial"/>
          <w:sz w:val="18"/>
          <w:szCs w:val="18"/>
          <w:color w:val="auto"/>
        </w:rPr>
      </w:pPr>
    </w:p>
    <w:p>
      <w:pPr>
        <w:ind w:left="1040" w:right="120" w:hanging="573"/>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holder of all or a portion of the residual tranches of the securities issued by the trust, we have the obligation to absorb losses of the trusts, to the extent of the value of our investment, and the right to receive benefits from the trust, both of which could potentially be significant to the trusts.</w:t>
      </w:r>
    </w:p>
    <w:p>
      <w:pPr>
        <w:spacing w:after="0" w:line="20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For the three months ended June 30, 2011 and 2010, the four consolidated trusts generated income (loss) before income taxes of $186 and $(9), respectively. For the six months ended June 30, 2011 and 2010, these trusts generated income (loss) before income taxes of $(33) and $334, respectively. See Note 7 and Note 12 for additional information regarding Loans – restricted for securitization investors and Secured borrowings – owed to securitization investors.</w:t>
      </w:r>
    </w:p>
    <w:p>
      <w:pPr>
        <w:spacing w:after="0" w:line="214"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The following table presents a summary of the involvement of Ocwen with unconsolidated securitization trusts and summary financial information for the trusts where we are the transferor and hold beneficial interests. Although we are the servicer for these trusts, the residual interests that we hold in these entities have no value and no potential return of significant cash flows. As a result, we are not exposed to loss from these holdings. Further, since our valuation of the residual interest is based on anticipated cash flows, we are unlikely to receive any future benefits from our residual interests in these trusts.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June 30,</w:t>
            </w: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95"/>
              </w:rPr>
              <w:t>Three months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60" w:type="dxa"/>
            <w:vAlign w:val="bottom"/>
            <w:gridSpan w:val="7"/>
          </w:tcPr>
          <w:p>
            <w:pPr>
              <w:ind w:left="360"/>
              <w:spacing w:after="0"/>
              <w:rPr>
                <w:sz w:val="20"/>
                <w:szCs w:val="20"/>
                <w:color w:val="auto"/>
              </w:rPr>
            </w:pPr>
            <w:r>
              <w:rPr>
                <w:rFonts w:ascii="Arial" w:cs="Arial" w:eastAsia="Arial" w:hAnsi="Arial"/>
                <w:sz w:val="18"/>
                <w:szCs w:val="18"/>
                <w:b w:val="1"/>
                <w:bCs w:val="1"/>
                <w:color w:val="auto"/>
              </w:rPr>
              <w:t>Six months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color w:val="auto"/>
              </w:rPr>
              <w:t>Total servicing and subservicing fee revenues</w:t>
            </w:r>
          </w:p>
        </w:tc>
        <w:tc>
          <w:tcPr>
            <w:tcW w:w="1580" w:type="dxa"/>
            <w:vAlign w:val="bottom"/>
            <w:gridSpan w:val="2"/>
            <w:shd w:val="clear" w:color="auto" w:fill="EAF9E8"/>
          </w:tcPr>
          <w:p>
            <w:pPr>
              <w:jc w:val="right"/>
              <w:ind w:right="7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727</w:t>
            </w:r>
          </w:p>
        </w:tc>
        <w:tc>
          <w:tcPr>
            <w:tcW w:w="6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923</w:t>
            </w:r>
          </w:p>
        </w:tc>
        <w:tc>
          <w:tcPr>
            <w:tcW w:w="5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spacing w:after="0"/>
              <w:rPr>
                <w:sz w:val="18"/>
                <w:szCs w:val="18"/>
                <w:color w:val="auto"/>
              </w:rPr>
            </w:pPr>
          </w:p>
        </w:tc>
        <w:tc>
          <w:tcPr>
            <w:tcW w:w="70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1,570</w:t>
            </w:r>
          </w:p>
        </w:tc>
        <w:tc>
          <w:tcPr>
            <w:tcW w:w="4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84"/>
              </w:rPr>
              <w:t>As of</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3"/>
          </w:tcPr>
          <w:p>
            <w:pPr>
              <w:jc w:val="center"/>
              <w:ind w:left="450"/>
              <w:spacing w:after="0" w:line="198" w:lineRule="exact"/>
              <w:rPr>
                <w:sz w:val="20"/>
                <w:szCs w:val="20"/>
                <w:color w:val="auto"/>
              </w:rPr>
            </w:pPr>
            <w:r>
              <w:rPr>
                <w:rFonts w:ascii="Arial" w:cs="Arial" w:eastAsia="Arial" w:hAnsi="Arial"/>
                <w:sz w:val="18"/>
                <w:szCs w:val="18"/>
                <w:b w:val="1"/>
                <w:bCs w:val="1"/>
                <w:color w:val="auto"/>
                <w:w w:val="88"/>
              </w:rPr>
              <w:t>June 30,</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3"/>
          </w:tcPr>
          <w:p>
            <w:pPr>
              <w:jc w:val="right"/>
              <w:ind w:right="290"/>
              <w:spacing w:after="0" w:line="198" w:lineRule="exact"/>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2011</w:t>
            </w: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AF9E8"/>
          </w:tcPr>
          <w:p>
            <w:pPr>
              <w:spacing w:after="0"/>
              <w:rPr>
                <w:sz w:val="20"/>
                <w:szCs w:val="20"/>
                <w:color w:val="auto"/>
              </w:rPr>
            </w:pPr>
            <w:r>
              <w:rPr>
                <w:rFonts w:ascii="Arial" w:cs="Arial" w:eastAsia="Arial" w:hAnsi="Arial"/>
                <w:sz w:val="18"/>
                <w:szCs w:val="18"/>
                <w:color w:val="auto"/>
              </w:rPr>
              <w:t>Total servicing advances</w:t>
            </w:r>
          </w:p>
        </w:tc>
        <w:tc>
          <w:tcPr>
            <w:tcW w:w="7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55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14,497</w:t>
            </w:r>
          </w:p>
        </w:tc>
        <w:tc>
          <w:tcPr>
            <w:tcW w:w="5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mortgage servicing rights at amortized cost</w:t>
            </w: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1,246</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With regard to both the consolidated and the unconsolidated securitization trusts, we have no obligation to provide financial support to the trusts and have provided no such support. The creditors of the trusts can look only to the assets of the trusts themselves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and subordinate securities of the trusts, our mortgage servicing rights that are related to the trusts and our advances to the trusts. We consider the probability of loss arising from our advances to be remote because of their position ahead of most of the other liabilities of the trusts. At June 30, 2011 and December 31, 2010, our investment in the securities of the trusts was $2,509 and $2,691, respectively, all of which is eliminated in consolidation. See Note 5 and Note 8 for additional information regarding Advances and Mortgage servicing rights.</w:t>
      </w:r>
    </w:p>
    <w:p>
      <w:pPr>
        <w:spacing w:after="0" w:line="21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i w:val="1"/>
          <w:iCs w:val="1"/>
          <w:color w:val="auto"/>
        </w:rPr>
        <w:t xml:space="preserve">Financings of Advances on Loans Serviced for Others. </w:t>
      </w:r>
      <w:r>
        <w:rPr>
          <w:rFonts w:ascii="Arial" w:cs="Arial" w:eastAsia="Arial" w:hAnsi="Arial"/>
          <w:sz w:val="16"/>
          <w:szCs w:val="16"/>
          <w:color w:val="auto"/>
        </w:rPr>
        <w:t>Match funded advances on loans serviced for others result from our transfers of residential loan</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advances to SPEs in exchange for cash. These SPEs issue debt supported by collections on the transferred advances. We made these transfers under the terms of three advance facility agreements. We classify the transferred advances on our Consolidated Balance Sheet as Match funded advances and the related liabilities as Match funded liabilities. Collections on the advances pledged to the SPEs are used to repay principal and interest and to pay the expenses of the entity. Holders of the debt issued by these entities can look only to the assets of the entities themselves for satisfaction of the debt and have no recourse against OCN. However, OLS has guaranteed the payment of the obligations under the securitization documents of one of the entities, Ocwen Servicer Advance Funding (Wachovia), LLC (OSAFW). The maximum amount payable under the guarantee is limited to 10% of the notes outstanding at the end of the facility’s revolving period on July 1, 2013. As of June 30, 2011, OSAFW had $162,839 of notes outstanding.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right="660" w:firstLine="324"/>
        <w:spacing w:after="0" w:line="277" w:lineRule="auto"/>
        <w:rPr>
          <w:sz w:val="20"/>
          <w:szCs w:val="20"/>
          <w:color w:val="auto"/>
        </w:rPr>
      </w:pPr>
      <w:r>
        <w:rPr>
          <w:rFonts w:ascii="Arial" w:cs="Arial" w:eastAsia="Arial" w:hAnsi="Arial"/>
          <w:sz w:val="18"/>
          <w:szCs w:val="18"/>
          <w:color w:val="auto"/>
        </w:rPr>
        <w:t>The following table summarizes the assets and liabilities of the SPEs formed in connection with our match funded advance facilities, at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Match funded advances</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1,421,636</w:t>
            </w:r>
          </w:p>
        </w:tc>
        <w:tc>
          <w:tcPr>
            <w:tcW w:w="220" w:type="dxa"/>
            <w:vAlign w:val="bottom"/>
            <w:shd w:val="clear" w:color="auto" w:fill="EAF9E8"/>
          </w:tcPr>
          <w:p>
            <w:pPr>
              <w:spacing w:after="0"/>
              <w:rPr>
                <w:sz w:val="18"/>
                <w:szCs w:val="18"/>
                <w:color w:val="auto"/>
              </w:rPr>
            </w:pP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1,924,052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1,489,320</w:t>
            </w:r>
          </w:p>
        </w:tc>
        <w:tc>
          <w:tcPr>
            <w:tcW w:w="220" w:type="dxa"/>
            <w:vAlign w:val="bottom"/>
            <w:shd w:val="clear" w:color="auto" w:fill="EAF9E8"/>
          </w:tcPr>
          <w:p>
            <w:pPr>
              <w:spacing w:after="0"/>
              <w:rPr>
                <w:sz w:val="22"/>
                <w:szCs w:val="22"/>
                <w:color w:val="auto"/>
              </w:rPr>
            </w:pP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2,027,500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1,041,998</w:t>
            </w:r>
          </w:p>
        </w:tc>
        <w:tc>
          <w:tcPr>
            <w:tcW w:w="220" w:type="dxa"/>
            <w:vAlign w:val="bottom"/>
            <w:shd w:val="clear" w:color="auto" w:fill="EAF9E8"/>
          </w:tcPr>
          <w:p>
            <w:pPr>
              <w:spacing w:after="0"/>
              <w:rPr>
                <w:sz w:val="18"/>
                <w:szCs w:val="18"/>
                <w:color w:val="auto"/>
              </w:rPr>
            </w:pP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Due to affiliates (1)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363,172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262,900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1,816</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19"/>
                <w:szCs w:val="19"/>
                <w:color w:val="auto"/>
              </w:rPr>
            </w:pP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1,406,986</w:t>
            </w:r>
          </w:p>
        </w:tc>
        <w:tc>
          <w:tcPr>
            <w:tcW w:w="2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1,748,319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are payable to Ocwen and its consolidated affiliates and eliminated in consolidation.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and Note 11 for additional information regarding Match funded advances and Match funded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56"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Within the operating activities section of the Consolidated Statement of Cash Flows for 2010, we reclassified the $2,104 adjustment for amortization of the discount on the fee reimbursement advance borrowing from the Decrease in other liabilities line item to Amortization of debt discount, to conform to the 2011 presentation. Also within the operating activities section, we reclassified the $152 gain on extinguishment of debt from Other, net to the new line item, Gain on extinguishment of debt, to conform to the 2011 presentation.</w:t>
      </w:r>
    </w:p>
    <w:p>
      <w:pPr>
        <w:spacing w:after="0" w:line="21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Accounting Standards Update (ASU) 2011-02 (ASC 310, Receivables): A Creditor’s Determination of Whether a Restructuring Is a Troubled Debt Restructuring. </w:t>
      </w:r>
      <w:r>
        <w:rPr>
          <w:rFonts w:ascii="Arial" w:cs="Arial" w:eastAsia="Arial" w:hAnsi="Arial"/>
          <w:sz w:val="18"/>
          <w:szCs w:val="18"/>
          <w:color w:val="auto"/>
        </w:rPr>
        <w:t>The amendments in this ASU clarify the guidance on a creditor’s evaluation of whether it has granted a concession and whether a debtor is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financial difficulties. This additional guidance will assist creditors in determining whether a restructuring or modification of a receivable meets the criteria to be considered a troubled debt restructuring. If the restructuring is considered a troubled debt restructuring, creditors are required to make certain disclosures in their financial statements. In addition, the calculation of the allowance for credit losses for that receivable follows the impairment guidance specific to impaired receivables.</w:t>
      </w:r>
    </w:p>
    <w:p>
      <w:pPr>
        <w:spacing w:after="0" w:line="22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 xml:space="preserve">The amendments in this ASU are effective for the first interim or annual period beginning on or after June 15, 2011, and should be applied retrospectively to the beginning of the annual period of adoption. An entity should disclose the information which was deferred by ASU 2011-01, </w:t>
      </w:r>
      <w:r>
        <w:rPr>
          <w:rFonts w:ascii="Arial" w:cs="Arial" w:eastAsia="Arial" w:hAnsi="Arial"/>
          <w:sz w:val="16"/>
          <w:szCs w:val="16"/>
          <w:i w:val="1"/>
          <w:iCs w:val="1"/>
          <w:color w:val="auto"/>
        </w:rPr>
        <w:t>Receivables (Topic 310):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Deferral of the Effective Date of Disclosures about Troubled Debt Restructurings in Update No. 2010-20, </w:t>
      </w:r>
      <w:r>
        <w:rPr>
          <w:rFonts w:ascii="Arial" w:cs="Arial" w:eastAsia="Arial" w:hAnsi="Arial"/>
          <w:sz w:val="16"/>
          <w:szCs w:val="16"/>
          <w:color w:val="auto"/>
        </w:rPr>
        <w:t>for interim and annual periods beginning on or after</w:t>
      </w:r>
      <w:r>
        <w:rPr>
          <w:rFonts w:ascii="Arial" w:cs="Arial" w:eastAsia="Arial" w:hAnsi="Arial"/>
          <w:sz w:val="16"/>
          <w:szCs w:val="16"/>
          <w:i w:val="1"/>
          <w:iCs w:val="1"/>
          <w:color w:val="auto"/>
        </w:rPr>
        <w:t xml:space="preserve"> </w:t>
      </w:r>
      <w:r>
        <w:rPr>
          <w:rFonts w:ascii="Arial" w:cs="Arial" w:eastAsia="Arial" w:hAnsi="Arial"/>
          <w:sz w:val="16"/>
          <w:szCs w:val="16"/>
          <w:color w:val="auto"/>
        </w:rPr>
        <w:t>June 15, 2011. We do not expect the adoption of this standard to have a material impact on our consolidated financial statements.</w:t>
      </w:r>
    </w:p>
    <w:p>
      <w:pPr>
        <w:spacing w:after="0" w:line="18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i w:val="1"/>
          <w:iCs w:val="1"/>
          <w:color w:val="auto"/>
        </w:rPr>
        <w:t>ASU 2011-03 (ASC 860, Transfers and Servicing): Reconsideration of Effective Control for Repurchase Agreements</w:t>
      </w:r>
      <w:r>
        <w:rPr>
          <w:rFonts w:ascii="Arial" w:cs="Arial" w:eastAsia="Arial" w:hAnsi="Arial"/>
          <w:sz w:val="18"/>
          <w:szCs w:val="18"/>
          <w:color w:val="auto"/>
        </w:rPr>
        <w:t>. ASC 860 prescribes when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may or may not recognize a sale upon the transfer of financial assets subject to repurchase agreements. That determination is based, in part, on whether the entity has maintained effective control over the transferred financial assets. Repurchase agreements are accounted for as secured financings if the transferee has not surrendered control over the transferred assets. The amendments in this ASU remove from the assessment of effective control the criterion relating to the transferor’s ability to repurchase or redeem financial assets on substantially the agreed terms, even in the event of default by the transferee. The Financial Accounting Standards Board (FASB) concluded that this criterion is not a determining factor of effective control. Consequently, the amendments in this update also eliminate the requirement to demonstrate that the transferor possesses adequate collateral to fund substantially all the cost of purchasing replacement financial assets.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ind w:right="20" w:firstLine="324"/>
        <w:spacing w:after="0" w:line="264" w:lineRule="auto"/>
        <w:rPr>
          <w:sz w:val="20"/>
          <w:szCs w:val="20"/>
          <w:color w:val="auto"/>
        </w:rPr>
      </w:pPr>
      <w:r>
        <w:rPr>
          <w:rFonts w:ascii="Arial" w:cs="Arial" w:eastAsia="Arial" w:hAnsi="Arial"/>
          <w:sz w:val="18"/>
          <w:szCs w:val="18"/>
          <w:color w:val="auto"/>
        </w:rPr>
        <w:t>The guidance in this ASU is effective for the first interim or annual period beginning on or after December 15, 2011. The guidance should be applied prospectively to transactions or modifications of existing transactions that occur on or after the effective date. We do not expect our adoption of the provisions in this ASU to have a material impact on our consolidated financial statements.</w:t>
      </w:r>
    </w:p>
    <w:p>
      <w:pPr>
        <w:spacing w:after="0" w:line="20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i w:val="1"/>
          <w:iCs w:val="1"/>
          <w:color w:val="auto"/>
        </w:rPr>
        <w:t>ASU 2011-04 (ASC 820, Fair Value Measurement): Amendments to Achieve Common Fair Value Measurement and Disclosure Requirements in U.S. GAAP and IFRSs</w:t>
      </w:r>
      <w:r>
        <w:rPr>
          <w:rFonts w:ascii="Arial" w:cs="Arial" w:eastAsia="Arial" w:hAnsi="Arial"/>
          <w:sz w:val="16"/>
          <w:szCs w:val="16"/>
          <w:color w:val="auto"/>
        </w:rPr>
        <w:t>. The amendments in this ASU explain how to measure fair value. They do not require additional fair value measurements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establish valuation standards or affect valuation practices outside of financial reporting. The amendments clarify FASB’s intent about the application of existing fair value measurement and disclosure requirements and prescribe certain additional disclosures about fair value measurements, including: for fair value measurements within Level 3 of the fair value hierarchy, disclosing the valuation process used and the sensitivity of fair value measurement to changes in unobservable inputs; and for items not carried at fair value but for which fair value must be disclosed, categorization by level of the fair value hierarchy. The provisions of this ASU are effective for interim and annual periods beginning on or after December 15, 2011, with early adoption prohibited. We do not anticipate that the adoption of this standard will have a material impact on our consolidated financial statements.</w:t>
      </w:r>
    </w:p>
    <w:p>
      <w:pPr>
        <w:spacing w:after="0" w:line="19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i w:val="1"/>
          <w:iCs w:val="1"/>
          <w:color w:val="auto"/>
        </w:rPr>
        <w:t>ASU 2011-05 (ASC 220, Comprehensive Income): Presentation of Comprehensive Income</w:t>
      </w:r>
      <w:r>
        <w:rPr>
          <w:rFonts w:ascii="Arial" w:cs="Arial" w:eastAsia="Arial" w:hAnsi="Arial"/>
          <w:sz w:val="16"/>
          <w:szCs w:val="16"/>
          <w:color w:val="auto"/>
        </w:rPr>
        <w:t>, Current U.S. GAAP allows reporting entities three alternatives</w:t>
      </w:r>
      <w:r>
        <w:rPr>
          <w:rFonts w:ascii="Arial" w:cs="Arial" w:eastAsia="Arial" w:hAnsi="Arial"/>
          <w:sz w:val="16"/>
          <w:szCs w:val="16"/>
          <w:i w:val="1"/>
          <w:iCs w:val="1"/>
          <w:color w:val="auto"/>
        </w:rPr>
        <w:t xml:space="preserve"> </w:t>
      </w:r>
      <w:r>
        <w:rPr>
          <w:rFonts w:ascii="Arial" w:cs="Arial" w:eastAsia="Arial" w:hAnsi="Arial"/>
          <w:sz w:val="16"/>
          <w:szCs w:val="16"/>
          <w:color w:val="auto"/>
        </w:rPr>
        <w:t>for presenting other comprehensive income and its components in financial statements. One of those presentation options is to present the components of other comprehensive income as part of the statement of changes in stockholders’ equity. This ASU eliminates that option. This ASU also requires consecutive presentation of the statement of net income and other comprehensive income and requires an entity to present reclassification adjustments from other comprehensive income to net income on the face of the financial statements. The provisions of this ASU are effective for interim and annual periods beginning after December 15, 2011. Our adoption of this standard will not have a material impact on our consolidated financial statements.</w:t>
      </w:r>
    </w:p>
    <w:p>
      <w:pPr>
        <w:spacing w:after="0" w:line="18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PENDING ACQUISITION</w:t>
      </w:r>
    </w:p>
    <w:p>
      <w:pPr>
        <w:spacing w:after="0" w:line="229"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On June 5, 2011, Ocwen Financial Corporation and The Goldman Sachs Group, Inc. (Seller) entered into a Purchase Agreement (the Agreement) pursuant to which, among other things, Ocwen agreed to acquire, subject to certain conditions (i) all of the outstanding partnership interests of Litton Loan Servicing LP (Litton), a subsidiary of Seller and provider of servicing and subservicing of primarily non-prime residential mortgage loans (the Business) and</w:t>
      </w:r>
    </w:p>
    <w:p>
      <w:pPr>
        <w:ind w:right="160" w:firstLine="8"/>
        <w:spacing w:after="0" w:line="254"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interest-only servicing strips currently owned by Goldman, Sachs &amp; Co., a subsidiary of Seller. These and other transactions contemplated by the Agreement are referred to herein as the “Transaction.” The Transaction will result in the acquisition by Ocwen of a servicing portfolio of approximately $41,200,000 in unpaid principal balance of primarily non-prime residential mortgage loans (UPB) as of March 31, 2011 and the servicing platform of the Business based in Houston, Texas, Dallas, Texas and Atlanta, Georgia.</w:t>
      </w:r>
    </w:p>
    <w:p>
      <w:pPr>
        <w:spacing w:after="0" w:line="217" w:lineRule="exact"/>
        <w:rPr>
          <w:sz w:val="20"/>
          <w:szCs w:val="20"/>
          <w:color w:val="auto"/>
        </w:rPr>
      </w:pPr>
    </w:p>
    <w:p>
      <w:pPr>
        <w:ind w:right="580" w:firstLine="324"/>
        <w:spacing w:after="0" w:line="279" w:lineRule="auto"/>
        <w:rPr>
          <w:sz w:val="20"/>
          <w:szCs w:val="20"/>
          <w:color w:val="auto"/>
        </w:rPr>
      </w:pPr>
      <w:r>
        <w:rPr>
          <w:rFonts w:ascii="Arial" w:cs="Arial" w:eastAsia="Arial" w:hAnsi="Arial"/>
          <w:sz w:val="17"/>
          <w:szCs w:val="17"/>
          <w:color w:val="auto"/>
        </w:rPr>
        <w:t>The base purchase price for the Transaction is $263,654 which is payable by Ocwen in cash at closing subject to certain adjustments at closing. In addition, subject to adjustments based on outstanding servicer advances at closing, Ocwen will pay approximately $337,400 to retire a portion of the outstanding debt on an existing advance facility currently provided by an affiliate of Seller to Litton and will enter into a new facility to finance approximately $2,470,000 of servicing advances associated with the Business as more specifically described below.</w:t>
      </w:r>
    </w:p>
    <w:p>
      <w:pPr>
        <w:spacing w:after="0" w:line="19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For purposes of the Transaction, Ocwen has received a term sheet from Seller for a servicing advance facility in an amount sufficient to finance all of the servicing advances outstanding as of closing (the Full Seller Advance Facility) or, alternatively, the portion of the servicing advances outstanding as of closing (the Partial Seller Advance Facility) which is not otherwise financed through the commitments of The Royal Bank of Scotland plc, Barclays Bank PLC and Bank of America, N.A., in an aggregate amount not to exceed $2,100,000 (the Third Party Advance Facility). Subject to certain conditions and limitations, Seller has the option to determine whether Ocwen will be required to close on the Full Seller Advance Facility (without the Third Party Advance Facility) or the Partial Seller Advance Facility and the Third Party Advance Facility. Ocwen has also received a commitment letter from Barclays Bank PLC to provide a senior secured term loan facility of $575,000 (the Term Loan Facility) to finance the Transaction. The closing of the financing contemplated by the Term Loan Facility and the Third Party Advance Facility are not conditions to the closing under the Agreement.</w:t>
      </w:r>
    </w:p>
    <w:p>
      <w:pPr>
        <w:spacing w:after="0" w:line="20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Each of Seller and Ocwen has provided various representations, warranties and covenants in the Agreement. Seller has agreed, among other things, to (i) conduct the Business in the ordinary course of business consistent with past custom and practice during the period prior to the consummation of the Transaction and (ii) under certain conditions, to make post-closing adjustments for certain subservicing of whole loans that is terminated or transferred from Litton to another service provider within one year following the consummation of the Transaction. Ocwen has agreed, among other things, to use commercially reasonable efforts to obtain and close on debt financing in an aggregate amount that is sufficient to finance the Transaction, including the full amount of the purchase price and related fees and expenses.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right="120" w:firstLine="324"/>
        <w:spacing w:after="0" w:line="259" w:lineRule="auto"/>
        <w:rPr>
          <w:sz w:val="20"/>
          <w:szCs w:val="20"/>
          <w:color w:val="auto"/>
        </w:rPr>
      </w:pPr>
      <w:r>
        <w:rPr>
          <w:rFonts w:ascii="Arial" w:cs="Arial" w:eastAsia="Arial" w:hAnsi="Arial"/>
          <w:sz w:val="18"/>
          <w:szCs w:val="18"/>
          <w:color w:val="auto"/>
        </w:rPr>
        <w:t>As part of the Transaction, Seller and Ocwen have agreed to indemnification provisions for the benefit of the other party. Additionally, Seller has agreed to retain certain contingent liabilities for fines and penalties that could potentially be imposed by certain government authorities relating to Litton’s pre-closing foreclosure and servicing practices. Further, Seller and Ocwen have agreed to share certain losses arising out of third-party claims in connection with Litton’s pre-closing performance under its servicing agreements.</w:t>
      </w:r>
    </w:p>
    <w:p>
      <w:pPr>
        <w:spacing w:after="0" w:line="214"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Agreement contains specified termination rights for the parties. Among other circumstances, the Agreement may be terminated by either Seller or Ocwen if the closing has not occurred by November 1, 2011 (the Termination Date); provided, that if either party fails to receive certain requisite regulatory approvals by such date, the Termination Date may be extended until January 1, 2012. The consummation of the Transaction is subject to the expiration or termination of the applicable waiting period under the Hart-Scott-Rodino Antitrust Improvements Act of 1976 as amended and other conditions.</w:t>
      </w:r>
    </w:p>
    <w:p>
      <w:pPr>
        <w:spacing w:after="0" w:line="181" w:lineRule="exact"/>
        <w:rPr>
          <w:sz w:val="20"/>
          <w:szCs w:val="20"/>
          <w:color w:val="auto"/>
        </w:rPr>
      </w:pPr>
    </w:p>
    <w:p>
      <w:pPr>
        <w:ind w:right="400" w:firstLine="324"/>
        <w:spacing w:after="0" w:line="312" w:lineRule="auto"/>
        <w:rPr>
          <w:sz w:val="20"/>
          <w:szCs w:val="20"/>
          <w:color w:val="auto"/>
        </w:rPr>
      </w:pPr>
      <w:r>
        <w:rPr>
          <w:rFonts w:ascii="Arial" w:cs="Arial" w:eastAsia="Arial" w:hAnsi="Arial"/>
          <w:sz w:val="16"/>
          <w:szCs w:val="16"/>
          <w:color w:val="auto"/>
        </w:rPr>
        <w:t>The transaction is expected to close on September 1, 2011. Through June 30, 2011, we have incurred approximately $500 of fees for professional services related to the acquisition which are included in Operating expenses for the second quarter of 2011. Professional fees incurred in connection with advance financing and debt financing for the Transaction have been deferred and are included in Other liabilities in the Consolidated Balance Sheet.</w:t>
      </w:r>
    </w:p>
    <w:p>
      <w:pPr>
        <w:spacing w:after="0" w:line="1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the estimated fair values of our financial instruments are as follows at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June 30, 2011</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 2010</w:t>
            </w: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Carrying</w:t>
            </w: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70"/>
              <w:spacing w:after="0" w:line="198" w:lineRule="exact"/>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Carrying</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70"/>
              <w:spacing w:after="0" w:line="198"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9"/>
              </w:rPr>
              <w:t>Value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Value</w:t>
            </w: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4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Loans held for resale</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23,193</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23,193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25,803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net – restricted for securitization investors</w:t>
            </w: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62,344</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59,642</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67,340</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64,795</w:t>
            </w: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Advances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1,588,897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1,588,897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2,108,885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2,108,885</w:t>
            </w: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Receivables, net</w:t>
            </w: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53,066</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53,066</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69,518</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69,518</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Financial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liabilities</w:t>
            </w: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1,041,998</w:t>
            </w:r>
          </w:p>
        </w:tc>
        <w:tc>
          <w:tcPr>
            <w:tcW w:w="5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1,045,433</w:t>
            </w:r>
          </w:p>
        </w:tc>
        <w:tc>
          <w:tcPr>
            <w:tcW w:w="240" w:type="dxa"/>
            <w:vAlign w:val="bottom"/>
            <w:shd w:val="clear" w:color="auto" w:fill="EAF9E8"/>
          </w:tcPr>
          <w:p>
            <w:pPr>
              <w:spacing w:after="0"/>
              <w:rPr>
                <w:sz w:val="18"/>
                <w:szCs w:val="18"/>
                <w:color w:val="auto"/>
              </w:rPr>
            </w:pP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1,482,529</w:t>
            </w:r>
          </w:p>
        </w:tc>
        <w:tc>
          <w:tcPr>
            <w:tcW w:w="4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1,486,476</w:t>
            </w: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Lines of credit and other secured borrowings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41,458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42,437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246,073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252,722</w:t>
            </w: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9"/>
              </w:rPr>
              <w:t>Secured borrowings – owed to securitization investors</w:t>
            </w: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58,696</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57,133</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62,705</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62,105</w:t>
            </w: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Servicer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2,065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2,492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2,492</w:t>
            </w: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Debt securities</w:t>
            </w: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82,554</w:t>
            </w:r>
          </w:p>
        </w:tc>
        <w:tc>
          <w:tcPr>
            <w:tcW w:w="2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87,733</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82,554</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75,325</w:t>
            </w: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(15,787)</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(15,787)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(15,351)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(15,351)</w:t>
            </w:r>
          </w:p>
        </w:tc>
      </w:tr>
    </w:tbl>
    <w:p>
      <w:pPr>
        <w:spacing w:after="0" w:line="18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broad categories are:</w:t>
      </w:r>
    </w:p>
    <w:p>
      <w:pPr>
        <w:spacing w:after="0" w:line="252"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ind w:left="1380" w:right="40" w:hanging="917"/>
        <w:spacing w:after="0" w:line="277" w:lineRule="auto"/>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that are observable for the asset or liability, either directly or indirectly, for substantially the full term of the financial instrument.</w:t>
      </w:r>
    </w:p>
    <w:p>
      <w:pPr>
        <w:spacing w:after="0" w:line="170"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25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color w:val="auto"/>
        </w:rPr>
        <w:t>The following table presents assets and liabilities measured at fair value categorized by input level within the fair value hierarchy: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6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5"/>
              </w:rPr>
              <w:t>Carrying value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Level 1</w:t>
            </w:r>
          </w:p>
        </w:tc>
        <w:tc>
          <w:tcPr>
            <w:tcW w:w="3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At June 30, 2011:</w:t>
            </w:r>
          </w:p>
        </w:tc>
        <w:tc>
          <w:tcPr>
            <w:tcW w:w="400" w:type="dxa"/>
            <w:vAlign w:val="bottom"/>
            <w:tcBorders>
              <w:top w:val="single" w:sz="8" w:color="auto"/>
            </w:tcBorders>
            <w:shd w:val="clear" w:color="auto" w:fill="EAF9E8"/>
          </w:tcPr>
          <w:p>
            <w:pPr>
              <w:spacing w:after="0"/>
              <w:rPr>
                <w:sz w:val="18"/>
                <w:szCs w:val="18"/>
                <w:color w:val="auto"/>
              </w:rPr>
            </w:pPr>
          </w:p>
        </w:tc>
        <w:tc>
          <w:tcPr>
            <w:tcW w:w="88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tcBorders>
              <w:top w:val="single" w:sz="8" w:color="auto"/>
            </w:tcBorders>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Derivative financial instruments, net (1)</w:t>
            </w:r>
          </w:p>
        </w:tc>
        <w:tc>
          <w:tcPr>
            <w:tcW w:w="40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(15,787)</w:t>
            </w: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held for resale (2)</w:t>
            </w:r>
          </w:p>
        </w:tc>
        <w:tc>
          <w:tcPr>
            <w:tcW w:w="4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23,193</w:t>
            </w: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Mortgage servicing rights (3)</w:t>
            </w:r>
          </w:p>
        </w:tc>
        <w:tc>
          <w:tcPr>
            <w:tcW w:w="4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725</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At December 31, 2010:</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Derivative financial instruments, net (1)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(15,351)</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Loans held for resale (2)</w:t>
            </w:r>
          </w:p>
        </w:tc>
        <w:tc>
          <w:tcPr>
            <w:tcW w:w="4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25,803</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servicing rights (3)</w:t>
            </w:r>
          </w:p>
        </w:tc>
        <w:tc>
          <w:tcPr>
            <w:tcW w:w="4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334</w:t>
            </w: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AF9E8"/>
          </w:tcPr>
          <w:p>
            <w:pPr>
              <w:spacing w:after="0"/>
              <w:rPr>
                <w:sz w:val="18"/>
                <w:szCs w:val="18"/>
                <w:color w:val="auto"/>
              </w:rPr>
            </w:pPr>
          </w:p>
        </w:tc>
        <w:tc>
          <w:tcPr>
            <w:tcW w:w="12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260" w:hanging="572"/>
        <w:spacing w:after="0" w:line="342"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derivative financial instruments are not exchange-traded and therefore quoted market prices or other observable inputs are not available. Fair value is based on estimates provided by third-party pricing sources. See Note 15 for additional information on our derivative financial instruments.</w:t>
      </w:r>
    </w:p>
    <w:p>
      <w:pPr>
        <w:spacing w:after="0" w:line="123" w:lineRule="exact"/>
        <w:rPr>
          <w:rFonts w:ascii="Arial" w:cs="Arial" w:eastAsia="Arial" w:hAnsi="Arial"/>
          <w:sz w:val="16"/>
          <w:szCs w:val="16"/>
          <w:color w:val="auto"/>
        </w:rPr>
      </w:pPr>
    </w:p>
    <w:p>
      <w:pPr>
        <w:ind w:left="580" w:right="60" w:hanging="572"/>
        <w:spacing w:after="0" w:line="293"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Loans held for resale are reported at the lower of cost or fair value. The fair value of loans for which we do not have a firm commitment to sell is based upon a discounted cash flow analysis with the expected future cash flows discounted at a rate commensurate with the risk of the estimated cash flows. Significant assumptions include collateral and loan characteristics, prevailing market conditions and the creditworthiness of the borrower. All loans held for resale were measured at fair value because the cost exceeded the estimated fair value. At June 30, 2011 and December 31, 2010, the carrying value of loans held for resale is net of a valuation allowance of $14,680 and $14,611, respectively. Current market illiquidity has reduced the availability of observable pricing data. Consequently, we classify loans within Level 3 of the fair value hierarchy.</w:t>
      </w:r>
    </w:p>
    <w:p>
      <w:pPr>
        <w:spacing w:after="0" w:line="164" w:lineRule="exact"/>
        <w:rPr>
          <w:rFonts w:ascii="Arial" w:cs="Arial" w:eastAsia="Arial" w:hAnsi="Arial"/>
          <w:sz w:val="16"/>
          <w:szCs w:val="16"/>
          <w:color w:val="auto"/>
        </w:rPr>
      </w:pPr>
    </w:p>
    <w:p>
      <w:pPr>
        <w:jc w:val="both"/>
        <w:ind w:left="580" w:right="480" w:hanging="572"/>
        <w:spacing w:after="0" w:line="26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represent the carrying value of the impaired stratum of MSRs, net of a valuation allowance of $2,163 and $2,864 at June 30, 2011 and December 31, 2010, respectively. The estimated fair value exceeded amortized cost for all other strata. See Note 8 for additional information on MSRs, including significant assumptions used in their valuation.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ind w:right="2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our Level 3 assets that we measure at fair value on a recurring basis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10"/>
          </w:tcPr>
          <w:p>
            <w:pPr>
              <w:jc w:val="right"/>
              <w:ind w:right="540"/>
              <w:spacing w:after="0"/>
              <w:rPr>
                <w:sz w:val="20"/>
                <w:szCs w:val="20"/>
                <w:color w:val="auto"/>
              </w:rPr>
            </w:pPr>
            <w:r>
              <w:rPr>
                <w:rFonts w:ascii="Arial" w:cs="Arial" w:eastAsia="Arial" w:hAnsi="Arial"/>
                <w:sz w:val="18"/>
                <w:szCs w:val="18"/>
                <w:b w:val="1"/>
                <w:bCs w:val="1"/>
                <w:color w:val="auto"/>
              </w:rPr>
              <w:t>Derivative Financial Instruments</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For the periods ended June 30, 2011: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w w:val="92"/>
              </w:rPr>
              <w:t>Three months</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94"/>
              </w:rPr>
              <w:t>Six months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80" w:type="dxa"/>
            <w:vAlign w:val="bottom"/>
            <w:gridSpan w:val="4"/>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(12,397)</w:t>
            </w:r>
          </w:p>
        </w:tc>
        <w:tc>
          <w:tcPr>
            <w:tcW w:w="140" w:type="dxa"/>
            <w:vAlign w:val="bottom"/>
            <w:shd w:val="clear" w:color="auto" w:fill="EAF9E8"/>
          </w:tcPr>
          <w:p>
            <w:pPr>
              <w:spacing w:after="0"/>
              <w:rPr>
                <w:sz w:val="19"/>
                <w:szCs w:val="19"/>
                <w:color w:val="auto"/>
              </w:rPr>
            </w:pPr>
          </w:p>
        </w:tc>
        <w:tc>
          <w:tcPr>
            <w:tcW w:w="30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7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4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Purchases, issuances, sales and settlements: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0" w:type="dxa"/>
            <w:vAlign w:val="bottom"/>
            <w:tcBorders>
              <w:right w:val="single" w:sz="8" w:color="EAF9E8"/>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Issuances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0" w:type="dxa"/>
            <w:vAlign w:val="bottom"/>
            <w:tcBorders>
              <w:right w:val="single" w:sz="8" w:color="EAF9E8"/>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80" w:type="dxa"/>
            <w:vAlign w:val="bottom"/>
            <w:gridSpan w:val="3"/>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Settlements</w:t>
            </w:r>
          </w:p>
        </w:tc>
        <w:tc>
          <w:tcPr>
            <w:tcW w:w="36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760" w:type="dxa"/>
            <w:vAlign w:val="bottom"/>
            <w:tcBorders>
              <w:bottom w:val="single" w:sz="8" w:color="EAF9E8"/>
            </w:tcBorders>
            <w:shd w:val="clear" w:color="auto" w:fill="EAF9E8"/>
          </w:tcPr>
          <w:p>
            <w:pPr>
              <w:spacing w:after="0"/>
              <w:rPr>
                <w:sz w:val="19"/>
                <w:szCs w:val="19"/>
                <w:color w:val="auto"/>
              </w:rPr>
            </w:pPr>
          </w:p>
        </w:tc>
        <w:tc>
          <w:tcPr>
            <w:tcW w:w="360" w:type="dxa"/>
            <w:vAlign w:val="bottom"/>
            <w:tcBorders>
              <w:bottom w:val="single" w:sz="8" w:color="EAF9E8"/>
            </w:tcBorders>
            <w:shd w:val="clear" w:color="auto" w:fill="EAF9E8"/>
          </w:tcPr>
          <w:p>
            <w:pPr>
              <w:spacing w:after="0"/>
              <w:rPr>
                <w:sz w:val="19"/>
                <w:szCs w:val="19"/>
                <w:color w:val="auto"/>
              </w:rPr>
            </w:pPr>
          </w:p>
        </w:tc>
        <w:tc>
          <w:tcPr>
            <w:tcW w:w="40" w:type="dxa"/>
            <w:vAlign w:val="bottom"/>
            <w:tcBorders>
              <w:bottom w:val="single" w:sz="8" w:color="EAF9E8"/>
              <w:right w:val="single" w:sz="8" w:color="EAF9E8"/>
            </w:tcBorders>
            <w:shd w:val="clear" w:color="auto" w:fill="EAF9E8"/>
          </w:tcPr>
          <w:p>
            <w:pPr>
              <w:spacing w:after="0"/>
              <w:rPr>
                <w:sz w:val="19"/>
                <w:szCs w:val="19"/>
                <w:color w:val="auto"/>
              </w:rPr>
            </w:pPr>
          </w:p>
        </w:tc>
        <w:tc>
          <w:tcPr>
            <w:tcW w:w="120" w:type="dxa"/>
            <w:vAlign w:val="bottom"/>
            <w:tcBorders>
              <w:bottom w:val="single" w:sz="8" w:color="auto"/>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00" w:type="dxa"/>
            <w:vAlign w:val="bottom"/>
            <w:tcBorders>
              <w:bottom w:val="single" w:sz="8" w:color="auto"/>
            </w:tcBorders>
            <w:shd w:val="clear" w:color="auto" w:fill="EAF9E8"/>
          </w:tcPr>
          <w:p>
            <w:pPr>
              <w:spacing w:after="0"/>
              <w:rPr>
                <w:sz w:val="19"/>
                <w:szCs w:val="19"/>
                <w:color w:val="auto"/>
              </w:rPr>
            </w:pP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8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auto"/>
              <w:right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0" w:type="dxa"/>
            <w:vAlign w:val="bottom"/>
            <w:tcBorders>
              <w:right w:val="single" w:sz="8" w:color="EAF9E8"/>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tcBorders>
              <w:top w:val="single" w:sz="8" w:color="auto"/>
              <w:right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realized and unrealized gains and (losses) (1):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Included in Other, net</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0" w:type="dxa"/>
            <w:vAlign w:val="bottom"/>
            <w:tcBorders>
              <w:right w:val="single" w:sz="8" w:color="EAF9E8"/>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Included in Other comprehensive income (loss)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(2,520)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40" w:type="dxa"/>
            <w:vAlign w:val="bottom"/>
            <w:tcBorders>
              <w:right w:val="single" w:sz="8" w:color="EAF9E8"/>
            </w:tcBorders>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(3,415)</w:t>
            </w:r>
          </w:p>
        </w:tc>
        <w:tc>
          <w:tcPr>
            <w:tcW w:w="1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20" w:type="dxa"/>
            <w:vAlign w:val="bottom"/>
            <w:tcBorders>
              <w:right w:val="single" w:sz="8" w:color="EAF9E8"/>
            </w:tcBorders>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76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4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Transfers in and / or out of Level 3</w:t>
            </w:r>
          </w:p>
        </w:tc>
        <w:tc>
          <w:tcPr>
            <w:tcW w:w="36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760" w:type="dxa"/>
            <w:vAlign w:val="bottom"/>
            <w:tcBorders>
              <w:bottom w:val="single" w:sz="8" w:color="EAF9E8"/>
            </w:tcBorders>
            <w:shd w:val="clear" w:color="auto" w:fill="EAF9E8"/>
          </w:tcPr>
          <w:p>
            <w:pPr>
              <w:spacing w:after="0"/>
              <w:rPr>
                <w:sz w:val="19"/>
                <w:szCs w:val="19"/>
                <w:color w:val="auto"/>
              </w:rPr>
            </w:pPr>
          </w:p>
        </w:tc>
        <w:tc>
          <w:tcPr>
            <w:tcW w:w="360" w:type="dxa"/>
            <w:vAlign w:val="bottom"/>
            <w:tcBorders>
              <w:bottom w:val="single" w:sz="8" w:color="EAF9E8"/>
            </w:tcBorders>
            <w:shd w:val="clear" w:color="auto" w:fill="EAF9E8"/>
          </w:tcPr>
          <w:p>
            <w:pPr>
              <w:spacing w:after="0"/>
              <w:rPr>
                <w:sz w:val="19"/>
                <w:szCs w:val="19"/>
                <w:color w:val="auto"/>
              </w:rPr>
            </w:pPr>
          </w:p>
        </w:tc>
        <w:tc>
          <w:tcPr>
            <w:tcW w:w="40" w:type="dxa"/>
            <w:vAlign w:val="bottom"/>
            <w:tcBorders>
              <w:bottom w:val="single" w:sz="8" w:color="EAF9E8"/>
              <w:right w:val="single" w:sz="8" w:color="EAF9E8"/>
            </w:tcBorders>
            <w:shd w:val="clear" w:color="auto" w:fill="EAF9E8"/>
          </w:tcPr>
          <w:p>
            <w:pPr>
              <w:spacing w:after="0"/>
              <w:rPr>
                <w:sz w:val="19"/>
                <w:szCs w:val="19"/>
                <w:color w:val="auto"/>
              </w:rPr>
            </w:pPr>
          </w:p>
        </w:tc>
        <w:tc>
          <w:tcPr>
            <w:tcW w:w="120" w:type="dxa"/>
            <w:vAlign w:val="bottom"/>
            <w:tcBorders>
              <w:bottom w:val="single" w:sz="8" w:color="auto"/>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00" w:type="dxa"/>
            <w:vAlign w:val="bottom"/>
            <w:tcBorders>
              <w:bottom w:val="single" w:sz="8" w:color="auto"/>
            </w:tcBorders>
            <w:shd w:val="clear" w:color="auto" w:fill="EAF9E8"/>
          </w:tcPr>
          <w:p>
            <w:pPr>
              <w:spacing w:after="0"/>
              <w:rPr>
                <w:sz w:val="19"/>
                <w:szCs w:val="19"/>
                <w:color w:val="auto"/>
              </w:rPr>
            </w:pP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gridSpan w:val="2"/>
            <w:shd w:val="clear" w:color="auto" w:fill="EAF9E8"/>
          </w:tcPr>
          <w:p>
            <w:pPr>
              <w:spacing w:after="0"/>
              <w:rPr>
                <w:sz w:val="19"/>
                <w:szCs w:val="19"/>
                <w:color w:val="auto"/>
              </w:rPr>
            </w:pPr>
          </w:p>
        </w:tc>
        <w:tc>
          <w:tcPr>
            <w:tcW w:w="8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auto"/>
              <w:right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Ending balance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(15,787)</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(15,787)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9"/>
          </w:tcPr>
          <w:p>
            <w:pPr>
              <w:jc w:val="right"/>
              <w:ind w:right="900"/>
              <w:spacing w:after="0"/>
              <w:rPr>
                <w:sz w:val="20"/>
                <w:szCs w:val="20"/>
                <w:color w:val="auto"/>
              </w:rPr>
            </w:pPr>
            <w:r>
              <w:rPr>
                <w:rFonts w:ascii="Arial" w:cs="Arial" w:eastAsia="Arial" w:hAnsi="Arial"/>
                <w:sz w:val="18"/>
                <w:szCs w:val="18"/>
                <w:b w:val="1"/>
                <w:bCs w:val="1"/>
                <w:color w:val="auto"/>
              </w:rPr>
              <w:t>Trading Securities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Subordinates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Financial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1"/>
              </w:rPr>
              <w:t>Auction Rate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and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June 30, 2010: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Instruments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Securities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Residuals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(480)</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125,036</w:t>
            </w:r>
          </w:p>
        </w:tc>
        <w:tc>
          <w:tcPr>
            <w:tcW w:w="120" w:type="dxa"/>
            <w:vAlign w:val="bottom"/>
            <w:shd w:val="clear" w:color="auto" w:fill="EAF9E8"/>
          </w:tcPr>
          <w:p>
            <w:pPr>
              <w:spacing w:after="0"/>
              <w:rPr>
                <w:sz w:val="18"/>
                <w:szCs w:val="18"/>
                <w:color w:val="auto"/>
              </w:rPr>
            </w:pPr>
          </w:p>
        </w:tc>
        <w:tc>
          <w:tcPr>
            <w:tcW w:w="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124,615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Purchases, issuances, sales and settlements: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0" w:type="dxa"/>
            <w:vAlign w:val="bottom"/>
            <w:tcBorders>
              <w:right w:val="single" w:sz="8" w:color="EAF9E8"/>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Issuances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520" w:type="dxa"/>
            <w:vAlign w:val="bottom"/>
            <w:gridSpan w:val="3"/>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8"/>
                <w:szCs w:val="18"/>
                <w:color w:val="auto"/>
              </w:rPr>
              <w:t>(45,260)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Settlements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520" w:type="dxa"/>
            <w:vAlign w:val="bottom"/>
            <w:gridSpan w:val="3"/>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220" w:type="dxa"/>
            <w:vAlign w:val="bottom"/>
            <w:tcBorders>
              <w:right w:val="single" w:sz="8" w:color="EAF9E8"/>
            </w:tcBorders>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8"/>
                <w:szCs w:val="18"/>
                <w:color w:val="auto"/>
              </w:rPr>
              <w:t>(45,260)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(45,184)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760" w:type="dxa"/>
            <w:vAlign w:val="bottom"/>
            <w:tcBorders>
              <w:top w:val="single" w:sz="8" w:color="auto"/>
            </w:tcBorders>
            <w:shd w:val="clear" w:color="auto" w:fill="EAF9E8"/>
          </w:tcPr>
          <w:p>
            <w:pPr>
              <w:spacing w:after="0"/>
              <w:rPr>
                <w:sz w:val="18"/>
                <w:szCs w:val="18"/>
                <w:color w:val="auto"/>
              </w:rPr>
            </w:pPr>
          </w:p>
        </w:tc>
        <w:tc>
          <w:tcPr>
            <w:tcW w:w="360" w:type="dxa"/>
            <w:vAlign w:val="bottom"/>
            <w:tcBorders>
              <w:top w:val="single" w:sz="8" w:color="auto"/>
            </w:tcBorders>
            <w:shd w:val="clear" w:color="auto" w:fill="EAF9E8"/>
          </w:tcPr>
          <w:p>
            <w:pPr>
              <w:spacing w:after="0"/>
              <w:rPr>
                <w:sz w:val="18"/>
                <w:szCs w:val="18"/>
                <w:color w:val="auto"/>
              </w:rPr>
            </w:pPr>
          </w:p>
        </w:tc>
        <w:tc>
          <w:tcPr>
            <w:tcW w:w="40" w:type="dxa"/>
            <w:vAlign w:val="bottom"/>
            <w:tcBorders>
              <w:top w:val="single" w:sz="8" w:color="auto"/>
              <w:right w:val="single" w:sz="8" w:color="EAF9E8"/>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realized and unrealized gains and (losses) (1) (2):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Included in Loss on trading securities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80" w:type="dxa"/>
            <w:vAlign w:val="bottom"/>
            <w:gridSpan w:val="4"/>
            <w:shd w:val="clear" w:color="auto" w:fill="EAF9E8"/>
          </w:tcPr>
          <w:p>
            <w:pPr>
              <w:jc w:val="right"/>
              <w:ind w:right="60"/>
              <w:spacing w:after="0"/>
              <w:rPr>
                <w:sz w:val="20"/>
                <w:szCs w:val="20"/>
                <w:color w:val="auto"/>
              </w:rPr>
            </w:pPr>
            <w:r>
              <w:rPr>
                <w:rFonts w:ascii="Arial" w:cs="Arial" w:eastAsia="Arial" w:hAnsi="Arial"/>
                <w:sz w:val="18"/>
                <w:szCs w:val="18"/>
                <w:color w:val="auto"/>
              </w:rPr>
              <w:t>(1,703)</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8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Included in Other,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Included in Other comprehensive income (loss)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(11,719)</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520" w:type="dxa"/>
            <w:vAlign w:val="bottom"/>
            <w:gridSpan w:val="3"/>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220" w:type="dxa"/>
            <w:vAlign w:val="bottom"/>
            <w:tcBorders>
              <w:right w:val="single" w:sz="8" w:color="EAF9E8"/>
            </w:tcBorders>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(11,874)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8"/>
                <w:szCs w:val="18"/>
                <w:color w:val="auto"/>
              </w:rPr>
              <w:t>(1,703)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760" w:type="dxa"/>
            <w:vAlign w:val="bottom"/>
            <w:tcBorders>
              <w:top w:val="single" w:sz="8" w:color="auto"/>
            </w:tcBorders>
            <w:shd w:val="clear" w:color="auto" w:fill="EAF9E8"/>
          </w:tcPr>
          <w:p>
            <w:pPr>
              <w:spacing w:after="0"/>
              <w:rPr>
                <w:sz w:val="18"/>
                <w:szCs w:val="18"/>
                <w:color w:val="auto"/>
              </w:rPr>
            </w:pPr>
          </w:p>
        </w:tc>
        <w:tc>
          <w:tcPr>
            <w:tcW w:w="400" w:type="dxa"/>
            <w:vAlign w:val="bottom"/>
            <w:tcBorders>
              <w:top w:val="single" w:sz="8" w:color="auto"/>
              <w:right w:val="single" w:sz="8" w:color="EAF9E8"/>
            </w:tcBorders>
            <w:gridSpan w:val="2"/>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Transfers in and / or out of Level 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Ending balance</w:t>
            </w:r>
          </w:p>
        </w:tc>
        <w:tc>
          <w:tcPr>
            <w:tcW w:w="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(12,278)</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EAF9E8"/>
          </w:tcPr>
          <w:p>
            <w:pPr>
              <w:jc w:val="right"/>
              <w:ind w:right="120"/>
              <w:spacing w:after="0"/>
              <w:rPr>
                <w:sz w:val="20"/>
                <w:szCs w:val="20"/>
                <w:color w:val="auto"/>
              </w:rPr>
            </w:pPr>
            <w:r>
              <w:rPr>
                <w:rFonts w:ascii="Arial" w:cs="Arial" w:eastAsia="Arial" w:hAnsi="Arial"/>
                <w:sz w:val="18"/>
                <w:szCs w:val="18"/>
                <w:color w:val="auto"/>
              </w:rPr>
              <w:t>78,073</w:t>
            </w:r>
          </w:p>
        </w:tc>
        <w:tc>
          <w:tcPr>
            <w:tcW w:w="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shd w:val="clear" w:color="auto" w:fill="EAF9E8"/>
          </w:tcPr>
          <w:p>
            <w:pPr>
              <w:spacing w:after="0"/>
              <w:rPr>
                <w:sz w:val="22"/>
                <w:szCs w:val="22"/>
                <w:color w:val="auto"/>
              </w:rPr>
            </w:pPr>
          </w:p>
        </w:tc>
        <w:tc>
          <w:tcPr>
            <w:tcW w:w="220" w:type="dxa"/>
            <w:vAlign w:val="bottom"/>
            <w:tcBorders>
              <w:right w:val="single" w:sz="8" w:color="EAF9E8"/>
            </w:tcBorders>
            <w:shd w:val="clear" w:color="auto" w:fill="EAF9E8"/>
          </w:tcPr>
          <w:p>
            <w:pPr>
              <w:spacing w:after="0"/>
              <w:rPr>
                <w:sz w:val="22"/>
                <w:szCs w:val="22"/>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65,847</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560" w:type="dxa"/>
            <w:vAlign w:val="bottom"/>
            <w:tcBorders>
              <w:top w:val="single" w:sz="8" w:color="EAF9E8"/>
            </w:tcBorders>
          </w:tcPr>
          <w:p>
            <w:pPr>
              <w:spacing w:after="0"/>
              <w:rPr>
                <w:sz w:val="24"/>
                <w:szCs w:val="24"/>
                <w:color w:val="auto"/>
              </w:rPr>
            </w:pPr>
          </w:p>
        </w:tc>
        <w:tc>
          <w:tcPr>
            <w:tcW w:w="360" w:type="dxa"/>
            <w:vAlign w:val="bottom"/>
            <w:tcBorders>
              <w:top w:val="single" w:sz="8" w:color="EAF9E8"/>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EAF9E8"/>
            </w:tcBorders>
          </w:tcPr>
          <w:p>
            <w:pPr>
              <w:spacing w:after="0"/>
              <w:rPr>
                <w:sz w:val="24"/>
                <w:szCs w:val="24"/>
                <w:color w:val="auto"/>
              </w:rPr>
            </w:pPr>
          </w:p>
        </w:tc>
        <w:tc>
          <w:tcPr>
            <w:tcW w:w="200" w:type="dxa"/>
            <w:vAlign w:val="bottom"/>
            <w:tcBorders>
              <w:top w:val="single" w:sz="8" w:color="EAF9E8"/>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320" w:type="dxa"/>
            <w:vAlign w:val="bottom"/>
            <w:tcBorders>
              <w:top w:val="single" w:sz="8" w:color="EAF9E8"/>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EAF9E8"/>
            </w:tcBorders>
          </w:tcPr>
          <w:p>
            <w:pPr>
              <w:spacing w:after="0"/>
              <w:rPr>
                <w:sz w:val="24"/>
                <w:szCs w:val="24"/>
                <w:color w:val="auto"/>
              </w:rPr>
            </w:pPr>
          </w:p>
        </w:tc>
        <w:tc>
          <w:tcPr>
            <w:tcW w:w="80" w:type="dxa"/>
            <w:vAlign w:val="bottom"/>
            <w:tcBorders>
              <w:top w:val="single" w:sz="8" w:color="EAF9E8"/>
            </w:tcBorders>
          </w:tcPr>
          <w:p>
            <w:pPr>
              <w:spacing w:after="0"/>
              <w:rPr>
                <w:sz w:val="24"/>
                <w:szCs w:val="24"/>
                <w:color w:val="auto"/>
              </w:rPr>
            </w:pPr>
          </w:p>
        </w:tc>
        <w:tc>
          <w:tcPr>
            <w:tcW w:w="220" w:type="dxa"/>
            <w:vAlign w:val="bottom"/>
            <w:tcBorders>
              <w:top w:val="single" w:sz="8" w:color="EAF9E8"/>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Trading Securities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Subordinates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Financial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Auction Rate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and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June 30, 2010:</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Instruments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Securities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Residuals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(45)</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247,464</w:t>
            </w:r>
          </w:p>
        </w:tc>
        <w:tc>
          <w:tcPr>
            <w:tcW w:w="240" w:type="dxa"/>
            <w:vAlign w:val="bottom"/>
            <w:shd w:val="clear" w:color="auto" w:fill="EAF9E8"/>
          </w:tcPr>
          <w:p>
            <w:pPr>
              <w:spacing w:after="0"/>
              <w:rPr>
                <w:sz w:val="18"/>
                <w:szCs w:val="18"/>
                <w:color w:val="auto"/>
              </w:rPr>
            </w:pP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59</w:t>
            </w:r>
          </w:p>
        </w:tc>
        <w:tc>
          <w:tcPr>
            <w:tcW w:w="4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Purchases, issuances, sales and settlements: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Issuances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(75,108)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(75,108)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Settlements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(93,345)</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(93,269)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(168,453)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(168,377)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realized and unrealized gains and (losses) (1) (2):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Included in Loss on trading securities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(938)</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Included in Other,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Included in Other comprehensive income (loss)</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(11,719)</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(12,309)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(13,254)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Transfers in and / or out of Level 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EAF9E8"/>
          </w:tcPr>
          <w:p>
            <w:pPr>
              <w:spacing w:after="0"/>
              <w:rPr>
                <w:sz w:val="20"/>
                <w:szCs w:val="20"/>
                <w:color w:val="auto"/>
              </w:rPr>
            </w:pPr>
            <w:r>
              <w:rPr>
                <w:rFonts w:ascii="Arial" w:cs="Arial" w:eastAsia="Arial" w:hAnsi="Arial"/>
                <w:sz w:val="18"/>
                <w:szCs w:val="18"/>
                <w:color w:val="auto"/>
              </w:rPr>
              <w:t>Ending balance</w:t>
            </w:r>
          </w:p>
        </w:tc>
        <w:tc>
          <w:tcPr>
            <w:tcW w:w="4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(12,278)</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78,073</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52</w:t>
            </w:r>
          </w:p>
        </w:tc>
        <w:tc>
          <w:tcPr>
            <w:tcW w:w="4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65,847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80" w:right="180" w:hanging="572"/>
        <w:spacing w:after="0" w:line="264"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net losses attributable to derivative financial instruments for the three and six months ended June 30, 2011 include losses of $3,415 and $289, respectively, on derivatives held at June 30, 2011. Net losses attributable to derivative financial instruments for the three and six months ended June 30, 2010 were comprised exclusively of losses on derivatives held at June 30, 2010.</w:t>
      </w:r>
    </w:p>
    <w:p>
      <w:pPr>
        <w:spacing w:after="0" w:line="181" w:lineRule="exact"/>
        <w:rPr>
          <w:rFonts w:ascii="Arial" w:cs="Arial" w:eastAsia="Arial" w:hAnsi="Arial"/>
          <w:sz w:val="18"/>
          <w:szCs w:val="18"/>
          <w:color w:val="auto"/>
        </w:rPr>
      </w:pPr>
    </w:p>
    <w:p>
      <w:pPr>
        <w:ind w:left="580" w:right="860" w:hanging="572"/>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net losses on trading securities for the three and six months ended June 30, 2010 include unrealized gains (losses) of $(53) and $559, respectively, on auction rate securities held at June 30, 2010.</w:t>
      </w:r>
    </w:p>
    <w:p>
      <w:pPr>
        <w:spacing w:after="0" w:line="1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ADVANCES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representing payments made on behalf of borrowers or on foreclosed properties, consisted of the following at the dates indicated: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Principal and interest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73,570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82,060</w:t>
            </w: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Taxes and insurance</w:t>
            </w:r>
          </w:p>
        </w:tc>
        <w:tc>
          <w:tcPr>
            <w:tcW w:w="26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53,604</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49,785</w:t>
            </w: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Foreclosure and bankruptcy costs</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24,554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27,163</w:t>
            </w:r>
          </w:p>
        </w:tc>
      </w:tr>
      <w:tr>
        <w:trPr>
          <w:trHeight w:val="223"/>
        </w:trPr>
        <w:tc>
          <w:tcPr>
            <w:tcW w:w="20" w:type="dxa"/>
            <w:vAlign w:val="bottom"/>
          </w:tcPr>
          <w:p>
            <w:pPr>
              <w:spacing w:after="0"/>
              <w:rPr>
                <w:sz w:val="19"/>
                <w:szCs w:val="19"/>
                <w:color w:val="auto"/>
              </w:rPr>
            </w:pPr>
          </w:p>
        </w:tc>
        <w:tc>
          <w:tcPr>
            <w:tcW w:w="78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11,380</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19"/>
                <w:szCs w:val="19"/>
                <w:color w:val="auto"/>
              </w:rPr>
            </w:pP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21,701</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163,108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180,709</w:t>
            </w:r>
          </w:p>
        </w:tc>
      </w:tr>
      <w:tr>
        <w:trPr>
          <w:trHeight w:val="223"/>
        </w:trPr>
        <w:tc>
          <w:tcPr>
            <w:tcW w:w="20" w:type="dxa"/>
            <w:vAlign w:val="bottom"/>
          </w:tcPr>
          <w:p>
            <w:pPr>
              <w:spacing w:after="0"/>
              <w:rPr>
                <w:sz w:val="19"/>
                <w:szCs w:val="19"/>
                <w:color w:val="auto"/>
              </w:rPr>
            </w:pPr>
          </w:p>
        </w:tc>
        <w:tc>
          <w:tcPr>
            <w:tcW w:w="78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26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4,153</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19"/>
                <w:szCs w:val="19"/>
                <w:color w:val="auto"/>
              </w:rPr>
            </w:pP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167,261</w:t>
            </w:r>
          </w:p>
        </w:tc>
        <w:tc>
          <w:tcPr>
            <w:tcW w:w="2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184,833</w:t>
            </w:r>
          </w:p>
        </w:tc>
      </w:tr>
      <w:tr>
        <w:trPr>
          <w:trHeight w:val="21"/>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color w:val="auto"/>
        </w:rPr>
        <w:t>Servicing advances of $62,918 and $75,489 were pledged as collateral under the term reimbursement advance borrowing as of June 30, 2011 and December 31, 2010, respectively. See Note 13 for additional information regarding the fee reimbursement advance facility.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tabs>
          <w:tab w:leader="none" w:pos="13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MATCH FUNDED ADVANCES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Match funded advances on residential loans we service for others, as more fully described in Note 1—Principles of Consolidation-Financings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Advances on Loans Serviced for Others, are comprised of the following at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Principal and interest</w:t>
            </w:r>
          </w:p>
        </w:tc>
        <w:tc>
          <w:tcPr>
            <w:tcW w:w="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583,814</w:t>
            </w: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947,990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Taxes and insurance</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574,466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684,928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Foreclosure and bankruptcy costs</w:t>
            </w:r>
          </w:p>
        </w:tc>
        <w:tc>
          <w:tcPr>
            <w:tcW w:w="7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120,379</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140,181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Real estate servicing costs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112,044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116,064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6160" w:type="dxa"/>
            <w:vAlign w:val="bottom"/>
            <w:tcBorders>
              <w:bottom w:val="single" w:sz="8" w:color="EAF9E8"/>
            </w:tcBorders>
            <w:shd w:val="clear" w:color="auto" w:fill="EAF9E8"/>
          </w:tcPr>
          <w:p>
            <w:pPr>
              <w:spacing w:after="0"/>
              <w:rPr>
                <w:sz w:val="19"/>
                <w:szCs w:val="19"/>
                <w:color w:val="auto"/>
              </w:rPr>
            </w:pPr>
          </w:p>
        </w:tc>
        <w:tc>
          <w:tcPr>
            <w:tcW w:w="7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30,933</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19"/>
                <w:szCs w:val="19"/>
                <w:color w:val="auto"/>
              </w:rPr>
            </w:pP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34,889</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1,421,636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1,924,052</w:t>
            </w:r>
          </w:p>
        </w:tc>
        <w:tc>
          <w:tcPr>
            <w:tcW w:w="0" w:type="dxa"/>
            <w:vAlign w:val="bottom"/>
          </w:tcPr>
          <w:p>
            <w:pPr>
              <w:spacing w:after="0"/>
              <w:rPr>
                <w:sz w:val="1"/>
                <w:szCs w:val="1"/>
                <w:color w:val="auto"/>
              </w:rPr>
            </w:pPr>
          </w:p>
        </w:tc>
      </w:tr>
      <w:tr>
        <w:trPr>
          <w:trHeight w:val="21"/>
        </w:trPr>
        <w:tc>
          <w:tcPr>
            <w:tcW w:w="1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w:t>
            </w:r>
          </w:p>
        </w:tc>
        <w:tc>
          <w:tcPr>
            <w:tcW w:w="61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LOANS – RESTRICTED FOR SECURITIZATION INVESTORS</w:t>
            </w: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020" w:type="dxa"/>
            <w:vAlign w:val="bottom"/>
            <w:gridSpan w:val="2"/>
            <w:vMerge w:val="continue"/>
          </w:tcPr>
          <w:p>
            <w:pPr>
              <w:spacing w:after="0"/>
              <w:rPr>
                <w:sz w:val="24"/>
                <w:szCs w:val="24"/>
                <w:color w:val="auto"/>
              </w:rPr>
            </w:pPr>
          </w:p>
        </w:tc>
        <w:tc>
          <w:tcPr>
            <w:tcW w:w="61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Loans – restricted for securitization investors are held by four securitization trusts that we include in our consolidated financial statements, as more fully described in Note 1—Securitizations of Residential Mortgage Loans. Loans – restricted for securitization investors consisted of the following at: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AF9E8"/>
          </w:tcPr>
          <w:p>
            <w:pPr>
              <w:spacing w:after="0"/>
              <w:rPr>
                <w:sz w:val="20"/>
                <w:szCs w:val="20"/>
                <w:color w:val="auto"/>
              </w:rPr>
            </w:pPr>
            <w:r>
              <w:rPr>
                <w:rFonts w:ascii="Arial" w:cs="Arial" w:eastAsia="Arial" w:hAnsi="Arial"/>
                <w:sz w:val="18"/>
                <w:szCs w:val="18"/>
                <w:color w:val="auto"/>
              </w:rPr>
              <w:t>Single family residential loans (1)</w:t>
            </w:r>
          </w:p>
        </w:tc>
        <w:tc>
          <w:tcPr>
            <w:tcW w:w="2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64,827</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69,718</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Allowance for loans losses</w:t>
            </w: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(2,483)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(2,378)</w:t>
            </w: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160" w:type="dxa"/>
            <w:vAlign w:val="bottom"/>
            <w:shd w:val="clear" w:color="auto" w:fill="EAF9E8"/>
          </w:tcPr>
          <w:p>
            <w:pPr>
              <w:spacing w:after="0"/>
              <w:rPr>
                <w:sz w:val="20"/>
                <w:szCs w:val="20"/>
                <w:color w:val="auto"/>
              </w:rPr>
            </w:pPr>
          </w:p>
        </w:tc>
        <w:tc>
          <w:tcPr>
            <w:tcW w:w="2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62,344</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67,340</w:t>
            </w: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EAF9E8"/>
            </w:tcBorders>
            <w:shd w:val="clear" w:color="auto" w:fill="EAF9E8"/>
          </w:tcPr>
          <w:p>
            <w:pPr>
              <w:spacing w:after="0" w:line="20" w:lineRule="exact"/>
              <w:rPr>
                <w:sz w:val="1"/>
                <w:szCs w:val="1"/>
                <w:color w:val="auto"/>
              </w:rPr>
            </w:pPr>
          </w:p>
        </w:tc>
        <w:tc>
          <w:tcPr>
            <w:tcW w:w="272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nonperforming loans of $11,649 and $12,933 at June 30, 2011 and December 31, 2010, respectively.</w:t>
      </w:r>
    </w:p>
    <w:p>
      <w:pPr>
        <w:spacing w:after="0" w:line="25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At June 30, 2011, the trusts held 1,499 loans that are secured by first or second liens on one- to four-family residential properties. These loans have a weighted average coupon rate of 9.26% and a weighted average remaining life of 132 months.</w:t>
      </w:r>
    </w:p>
    <w:p>
      <w:pPr>
        <w:spacing w:after="0" w:line="1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MORTGAGE SERVICING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Servicing Assets. </w:t>
      </w:r>
      <w:r>
        <w:rPr>
          <w:rFonts w:ascii="Arial" w:cs="Arial" w:eastAsia="Arial" w:hAnsi="Arial"/>
          <w:sz w:val="16"/>
          <w:szCs w:val="16"/>
          <w:color w:val="auto"/>
        </w:rPr>
        <w:t>The following table summarizes the activity in the carrying value of residential servicing assets for the six months ended June 30, 2011:</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EAF9E8"/>
          </w:tcPr>
          <w:p>
            <w:pPr>
              <w:spacing w:after="0"/>
              <w:rPr>
                <w:sz w:val="20"/>
                <w:szCs w:val="20"/>
                <w:color w:val="auto"/>
              </w:rPr>
            </w:pPr>
            <w:r>
              <w:rPr>
                <w:rFonts w:ascii="Arial" w:cs="Arial" w:eastAsia="Arial" w:hAnsi="Arial"/>
                <w:sz w:val="18"/>
                <w:szCs w:val="18"/>
                <w:color w:val="auto"/>
              </w:rPr>
              <w:t>Balance at December 31, 2010</w:t>
            </w:r>
          </w:p>
        </w:tc>
        <w:tc>
          <w:tcPr>
            <w:tcW w:w="3720" w:type="dxa"/>
            <w:vAlign w:val="bottom"/>
            <w:gridSpan w:val="2"/>
            <w:shd w:val="clear" w:color="auto" w:fill="EAF9E8"/>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193,985</w:t>
            </w: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3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Decrease in impairment valuation allowance</w:t>
            </w:r>
          </w:p>
        </w:tc>
        <w:tc>
          <w:tcPr>
            <w:tcW w:w="334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701</w:t>
            </w:r>
          </w:p>
        </w:tc>
      </w:tr>
      <w:tr>
        <w:trPr>
          <w:trHeight w:val="223"/>
        </w:trPr>
        <w:tc>
          <w:tcPr>
            <w:tcW w:w="20" w:type="dxa"/>
            <w:vAlign w:val="bottom"/>
          </w:tcPr>
          <w:p>
            <w:pPr>
              <w:spacing w:after="0"/>
              <w:rPr>
                <w:sz w:val="19"/>
                <w:szCs w:val="19"/>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Amortization (1)</w:t>
            </w:r>
          </w:p>
        </w:tc>
        <w:tc>
          <w:tcPr>
            <w:tcW w:w="3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(19,095)</w:t>
            </w:r>
          </w:p>
        </w:tc>
      </w:tr>
      <w:tr>
        <w:trPr>
          <w:trHeight w:val="257"/>
        </w:trPr>
        <w:tc>
          <w:tcPr>
            <w:tcW w:w="20" w:type="dxa"/>
            <w:vAlign w:val="bottom"/>
          </w:tcPr>
          <w:p>
            <w:pPr>
              <w:spacing w:after="0"/>
              <w:rPr>
                <w:sz w:val="22"/>
                <w:szCs w:val="22"/>
                <w:color w:val="auto"/>
              </w:rPr>
            </w:pPr>
          </w:p>
        </w:tc>
        <w:tc>
          <w:tcPr>
            <w:tcW w:w="67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Balance at June 30, 2011</w:t>
            </w:r>
          </w:p>
        </w:tc>
        <w:tc>
          <w:tcPr>
            <w:tcW w:w="334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top w:val="single" w:sz="8" w:color="auto"/>
              <w:bottom w:val="single" w:sz="8" w:color="auto"/>
            </w:tcBorders>
            <w:shd w:val="clear" w:color="auto" w:fill="EAF9E8"/>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175,591</w:t>
            </w:r>
          </w:p>
        </w:tc>
        <w:tc>
          <w:tcPr>
            <w:tcW w:w="100" w:type="dxa"/>
            <w:vAlign w:val="bottom"/>
            <w:tcBorders>
              <w:bottom w:val="single" w:sz="8" w:color="EAF9E8"/>
            </w:tcBorders>
            <w:shd w:val="clear" w:color="auto" w:fill="EAF9E8"/>
          </w:tcPr>
          <w:p>
            <w:pPr>
              <w:spacing w:after="0"/>
              <w:rPr>
                <w:sz w:val="22"/>
                <w:szCs w:val="22"/>
                <w:color w:val="auto"/>
              </w:rPr>
            </w:pPr>
          </w:p>
        </w:tc>
      </w:tr>
    </w:tbl>
    <w:p>
      <w:pPr>
        <w:spacing w:after="0" w:line="229" w:lineRule="exact"/>
        <w:rPr>
          <w:sz w:val="20"/>
          <w:szCs w:val="20"/>
          <w:color w:val="auto"/>
        </w:rPr>
      </w:pPr>
    </w:p>
    <w:p>
      <w:pPr>
        <w:ind w:left="580" w:right="80" w:hanging="572"/>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Consolidated Statement of Operations, Amortization of mortgage servicing rights is reported net of the amortization of servicing liabilities and includes the amount of charges we recognized to increase servicing liability obligations.</w:t>
      </w:r>
    </w:p>
    <w:p>
      <w:pPr>
        <w:spacing w:after="0" w:line="197"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The following table presents the composition of our servicing and subservicing portfolios by type of property serviced as measured by UPB. The servicing portfolio represents purchased mortgage servicing rights while subservicing generally represents all other mortgage servicing rights.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Residential</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Commercial</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UPB of Assets Serviced:</w:t>
            </w:r>
          </w:p>
        </w:tc>
        <w:tc>
          <w:tcPr>
            <w:tcW w:w="14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June 30, 2011:</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Servicing</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46,919,799</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46,919,799</w:t>
            </w: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Subservicing (1)</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23,910,768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343,125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w w:val="99"/>
              </w:rPr>
              <w:t>24,253,893</w:t>
            </w: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62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70,830,567</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343,125</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71,173,692</w:t>
            </w:r>
          </w:p>
        </w:tc>
      </w:tr>
      <w:tr>
        <w:trPr>
          <w:trHeight w:val="210"/>
        </w:trPr>
        <w:tc>
          <w:tcPr>
            <w:tcW w:w="20" w:type="dxa"/>
            <w:vAlign w:val="bottom"/>
          </w:tcPr>
          <w:p>
            <w:pPr>
              <w:spacing w:after="0"/>
              <w:rPr>
                <w:sz w:val="18"/>
                <w:szCs w:val="18"/>
                <w:color w:val="auto"/>
              </w:rPr>
            </w:pPr>
          </w:p>
        </w:tc>
        <w:tc>
          <w:tcPr>
            <w:tcW w:w="6620" w:type="dxa"/>
            <w:vAlign w:val="bottom"/>
            <w:tcBorders>
              <w:top w:val="single" w:sz="8" w:color="EAF9E8"/>
            </w:tcBorders>
          </w:tcPr>
          <w:p>
            <w:pPr>
              <w:ind w:left="160"/>
              <w:spacing w:after="0"/>
              <w:rPr>
                <w:sz w:val="20"/>
                <w:szCs w:val="20"/>
                <w:color w:val="auto"/>
              </w:rPr>
            </w:pPr>
            <w:r>
              <w:rPr>
                <w:rFonts w:ascii="Arial" w:cs="Arial" w:eastAsia="Arial" w:hAnsi="Arial"/>
                <w:sz w:val="18"/>
                <w:szCs w:val="18"/>
                <w:color w:val="auto"/>
              </w:rPr>
              <w:t>December 31, 2010:</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Servicing</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51,252,380</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51,252,380</w:t>
            </w:r>
          </w:p>
        </w:tc>
      </w:tr>
      <w:tr>
        <w:trPr>
          <w:trHeight w:val="216"/>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8"/>
                <w:szCs w:val="18"/>
                <w:color w:val="auto"/>
              </w:rPr>
              <w:t>Subservicing (1)</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22,634,011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434,305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w w:val="99"/>
              </w:rPr>
              <w:t>23,068,316</w:t>
            </w: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620" w:type="dxa"/>
            <w:vAlign w:val="bottom"/>
            <w:shd w:val="clear" w:color="auto" w:fill="EAF9E8"/>
          </w:tcPr>
          <w:p>
            <w:pPr>
              <w:spacing w:after="0"/>
              <w:rPr>
                <w:sz w:val="20"/>
                <w:szCs w:val="20"/>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73,886,391</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434,305</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74,320,696</w:t>
            </w: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ind w:left="5620" w:right="4900" w:hanging="5612"/>
        <w:spacing w:after="0" w:line="789" w:lineRule="auto"/>
        <w:tabs>
          <w:tab w:leader="none" w:pos="585"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Residential subservicing includes non-performing loans serviced for Freddie Mac.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ind w:right="240" w:firstLine="324"/>
        <w:spacing w:after="0" w:line="312" w:lineRule="auto"/>
        <w:rPr>
          <w:sz w:val="20"/>
          <w:szCs w:val="20"/>
          <w:color w:val="auto"/>
        </w:rPr>
      </w:pPr>
      <w:r>
        <w:rPr>
          <w:rFonts w:ascii="Arial" w:cs="Arial" w:eastAsia="Arial" w:hAnsi="Arial"/>
          <w:sz w:val="16"/>
          <w:szCs w:val="16"/>
          <w:color w:val="auto"/>
        </w:rPr>
        <w:t>MSRs are an intangible asset representing the right to service a portfolio of mortgage loans. We generally obtain MSRs by purchasing them from the owners of the mortgage loans. Residential assets serviced consist principally of mortgage loans, primarily subprime, but also include foreclosed real estate. Commercial assets serviced consist of foreclosed real estate. Assets serviced for others are not included on our Consolidated Balance Sheet.</w:t>
      </w:r>
    </w:p>
    <w:p>
      <w:pPr>
        <w:spacing w:after="0" w:line="17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Custodial accounts, which hold funds representing collections of principal and interest we receive from borrowers, are held in escrow by an unaffiliated bank and excluded from our Consolidated Balance Sheet. Custodial accounts amounted to approximately $397,000 and $320,300 at June 30, 2011 and December 31, 2010, respectively.</w:t>
      </w:r>
    </w:p>
    <w:p>
      <w:pPr>
        <w:spacing w:after="0" w:line="208" w:lineRule="exact"/>
        <w:rPr>
          <w:sz w:val="20"/>
          <w:szCs w:val="20"/>
          <w:color w:val="auto"/>
        </w:rPr>
      </w:pPr>
    </w:p>
    <w:p>
      <w:pPr>
        <w:jc w:val="both"/>
        <w:ind w:right="120" w:firstLine="324"/>
        <w:spacing w:after="0" w:line="302" w:lineRule="auto"/>
        <w:rPr>
          <w:sz w:val="20"/>
          <w:szCs w:val="20"/>
          <w:color w:val="auto"/>
        </w:rPr>
      </w:pPr>
      <w:r>
        <w:rPr>
          <w:rFonts w:ascii="Arial" w:cs="Arial" w:eastAsia="Arial" w:hAnsi="Arial"/>
          <w:sz w:val="16"/>
          <w:szCs w:val="16"/>
          <w:i w:val="1"/>
          <w:iCs w:val="1"/>
          <w:color w:val="auto"/>
        </w:rPr>
        <w:t xml:space="preserve">Valuation Allowance for Impairment. </w:t>
      </w:r>
      <w:r>
        <w:rPr>
          <w:rFonts w:ascii="Arial" w:cs="Arial" w:eastAsia="Arial" w:hAnsi="Arial"/>
          <w:sz w:val="16"/>
          <w:szCs w:val="16"/>
          <w:color w:val="auto"/>
        </w:rPr>
        <w:t>During 2008, we established a valuation allowance for impairment of $3,624 on the high-loan-to-value stratum of</w:t>
      </w:r>
      <w:r>
        <w:rPr>
          <w:rFonts w:ascii="Arial" w:cs="Arial" w:eastAsia="Arial" w:hAnsi="Arial"/>
          <w:sz w:val="16"/>
          <w:szCs w:val="16"/>
          <w:i w:val="1"/>
          <w:iCs w:val="1"/>
          <w:color w:val="auto"/>
        </w:rPr>
        <w:t xml:space="preserve"> </w:t>
      </w:r>
      <w:r>
        <w:rPr>
          <w:rFonts w:ascii="Arial" w:cs="Arial" w:eastAsia="Arial" w:hAnsi="Arial"/>
          <w:sz w:val="16"/>
          <w:szCs w:val="16"/>
          <w:color w:val="auto"/>
        </w:rPr>
        <w:t>our mortgage servicing rights as the estimated fair value was less than the carrying value. Changes in the valuation allowance for impairment are reflected in Servicing and origination expenses in our Consolidated Statement of Operations. Net of the current valuation allowance of $2,163, the carrying value of this stratum was $725 at June 30, 2011. For all other strata, the fair value was above the carrying value at June 30, 2011.</w:t>
      </w:r>
    </w:p>
    <w:p>
      <w:pPr>
        <w:spacing w:after="0" w:line="181"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estimated fair value of residential MSRs at June 30, 2011 and December 31, 2010 was $213,767 and $237,407, respectively. The more significant assumptions used in the June 30, 2011 valuation include prepayment speeds ranging from 11.2% to 23.3% (depending on loan type) and 90+ non-performing delinquency rates ranging from 15.9% to 28.3% (depending on loan type). Other assumptions include an interest rate of 1-month LIBOR plus 4% for computing the cost of financing advances, an interest rate of 1-month LIBOR for computing float earnings and a discount rate of 20%.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Servicing Liabilities. </w:t>
      </w:r>
      <w:r>
        <w:rPr>
          <w:rFonts w:ascii="Arial" w:cs="Arial" w:eastAsia="Arial" w:hAnsi="Arial"/>
          <w:sz w:val="18"/>
          <w:szCs w:val="18"/>
          <w:color w:val="auto"/>
        </w:rPr>
        <w:t>Servicing liabilities are included in Other liabilities. See Note 14 for additional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NOTE 9</w:t>
            </w:r>
          </w:p>
        </w:tc>
        <w:tc>
          <w:tcPr>
            <w:tcW w:w="5160" w:type="dxa"/>
            <w:vAlign w:val="bottom"/>
            <w:gridSpan w:val="3"/>
          </w:tcPr>
          <w:p>
            <w:pPr>
              <w:jc w:val="right"/>
              <w:ind w:right="3630"/>
              <w:spacing w:after="0"/>
              <w:rPr>
                <w:sz w:val="20"/>
                <w:szCs w:val="20"/>
                <w:color w:val="auto"/>
              </w:rPr>
            </w:pPr>
            <w:r>
              <w:rPr>
                <w:rFonts w:ascii="Arial" w:cs="Arial" w:eastAsia="Arial" w:hAnsi="Arial"/>
                <w:sz w:val="18"/>
                <w:szCs w:val="18"/>
                <w:b w:val="1"/>
                <w:bCs w:val="1"/>
                <w:color w:val="auto"/>
              </w:rPr>
              <w:t>RECEIVABLES</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360" w:type="dxa"/>
            <w:vAlign w:val="bottom"/>
            <w:gridSpan w:val="5"/>
          </w:tcPr>
          <w:p>
            <w:pPr>
              <w:jc w:val="right"/>
              <w:ind w:right="1550"/>
              <w:spacing w:after="0"/>
              <w:rPr>
                <w:sz w:val="20"/>
                <w:szCs w:val="20"/>
                <w:color w:val="auto"/>
              </w:rPr>
            </w:pPr>
            <w:r>
              <w:rPr>
                <w:rFonts w:ascii="Arial" w:cs="Arial" w:eastAsia="Arial" w:hAnsi="Arial"/>
                <w:sz w:val="18"/>
                <w:szCs w:val="18"/>
                <w:color w:val="auto"/>
                <w:w w:val="96"/>
              </w:rPr>
              <w:t>Receivables consisted of the following at the dates indicated:</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Allowance for</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b w:val="1"/>
                <w:bCs w:val="1"/>
                <w:color w:val="auto"/>
              </w:rPr>
              <w:t>Receivables</w:t>
            </w:r>
          </w:p>
        </w:tc>
        <w:tc>
          <w:tcPr>
            <w:tcW w:w="140" w:type="dxa"/>
            <w:vAlign w:val="bottom"/>
          </w:tcPr>
          <w:p>
            <w:pPr>
              <w:spacing w:after="0"/>
              <w:rPr>
                <w:sz w:val="20"/>
                <w:szCs w:val="20"/>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Credit Losses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Net</w:t>
            </w:r>
          </w:p>
        </w:tc>
      </w:tr>
      <w:tr>
        <w:trPr>
          <w:trHeight w:val="223"/>
        </w:trPr>
        <w:tc>
          <w:tcPr>
            <w:tcW w:w="20" w:type="dxa"/>
            <w:vAlign w:val="bottom"/>
          </w:tcPr>
          <w:p>
            <w:pPr>
              <w:spacing w:after="0"/>
              <w:rPr>
                <w:sz w:val="19"/>
                <w:szCs w:val="19"/>
                <w:color w:val="auto"/>
              </w:rPr>
            </w:pPr>
          </w:p>
        </w:tc>
        <w:tc>
          <w:tcPr>
            <w:tcW w:w="1200" w:type="dxa"/>
            <w:vAlign w:val="bottom"/>
            <w:gridSpan w:val="2"/>
            <w:shd w:val="clear" w:color="auto" w:fill="EAF9E8"/>
          </w:tcPr>
          <w:p>
            <w:pPr>
              <w:spacing w:after="0" w:line="202" w:lineRule="exact"/>
              <w:rPr>
                <w:sz w:val="20"/>
                <w:szCs w:val="20"/>
                <w:color w:val="auto"/>
              </w:rPr>
            </w:pPr>
            <w:r>
              <w:rPr>
                <w:rFonts w:ascii="Arial" w:cs="Arial" w:eastAsia="Arial" w:hAnsi="Arial"/>
                <w:sz w:val="18"/>
                <w:szCs w:val="18"/>
                <w:b w:val="1"/>
                <w:bCs w:val="1"/>
                <w:color w:val="auto"/>
              </w:rPr>
              <w:t>June 30, 2011</w:t>
            </w:r>
          </w:p>
        </w:tc>
        <w:tc>
          <w:tcPr>
            <w:tcW w:w="240" w:type="dxa"/>
            <w:vAlign w:val="bottom"/>
            <w:shd w:val="clear" w:color="auto" w:fill="EAF9E8"/>
          </w:tcPr>
          <w:p>
            <w:pPr>
              <w:spacing w:after="0"/>
              <w:rPr>
                <w:sz w:val="19"/>
                <w:szCs w:val="19"/>
                <w:color w:val="auto"/>
              </w:rPr>
            </w:pPr>
          </w:p>
        </w:tc>
        <w:tc>
          <w:tcPr>
            <w:tcW w:w="4720" w:type="dxa"/>
            <w:vAlign w:val="bottom"/>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1300" w:type="dxa"/>
            <w:vAlign w:val="bottom"/>
            <w:tcBorders>
              <w:top w:val="single" w:sz="8" w:color="auto"/>
            </w:tcBorders>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40" w:type="dxa"/>
            <w:vAlign w:val="bottom"/>
            <w:tcBorders>
              <w:top w:val="single" w:sz="8" w:color="auto"/>
            </w:tcBorders>
            <w:shd w:val="clear" w:color="auto" w:fill="EAF9E8"/>
          </w:tcPr>
          <w:p>
            <w:pPr>
              <w:spacing w:after="0"/>
              <w:rPr>
                <w:sz w:val="19"/>
                <w:szCs w:val="19"/>
                <w:color w:val="auto"/>
              </w:rPr>
            </w:pPr>
          </w:p>
        </w:tc>
        <w:tc>
          <w:tcPr>
            <w:tcW w:w="1340" w:type="dxa"/>
            <w:vAlign w:val="bottom"/>
            <w:tcBorders>
              <w:top w:val="single" w:sz="8" w:color="auto"/>
            </w:tcBorders>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340" w:type="dxa"/>
            <w:vAlign w:val="bottom"/>
            <w:tcBorders>
              <w:top w:val="single" w:sz="8" w:color="auto"/>
            </w:tcBorders>
            <w:shd w:val="clear" w:color="auto" w:fill="EAF9E8"/>
          </w:tcPr>
          <w:p>
            <w:pPr>
              <w:spacing w:after="0"/>
              <w:rPr>
                <w:sz w:val="19"/>
                <w:szCs w:val="19"/>
                <w:color w:val="auto"/>
              </w:rPr>
            </w:pPr>
          </w:p>
        </w:tc>
        <w:tc>
          <w:tcPr>
            <w:tcW w:w="1140" w:type="dxa"/>
            <w:vAlign w:val="bottom"/>
            <w:tcBorders>
              <w:top w:val="single" w:sz="8" w:color="auto"/>
            </w:tcBorders>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Servicing (1)</w:t>
            </w:r>
          </w:p>
        </w:tc>
        <w:tc>
          <w:tcPr>
            <w:tcW w:w="180" w:type="dxa"/>
            <w:vAlign w:val="bottom"/>
            <w:tcBorders>
              <w:top w:val="single" w:sz="8" w:color="EAF9E8"/>
            </w:tcBorders>
          </w:tcPr>
          <w:p>
            <w:pPr>
              <w:spacing w:after="0"/>
              <w:rPr>
                <w:sz w:val="18"/>
                <w:szCs w:val="18"/>
                <w:color w:val="auto"/>
              </w:rPr>
            </w:pPr>
          </w:p>
        </w:tc>
        <w:tc>
          <w:tcPr>
            <w:tcW w:w="5160" w:type="dxa"/>
            <w:vAlign w:val="bottom"/>
            <w:tcBorders>
              <w:top w:val="single" w:sz="8" w:color="EAF9E8"/>
            </w:tcBorders>
            <w:gridSpan w:val="3"/>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EAF9E8"/>
            </w:tcBorders>
            <w:gridSpan w:val="2"/>
          </w:tcPr>
          <w:p>
            <w:pPr>
              <w:jc w:val="right"/>
              <w:ind w:right="360"/>
              <w:spacing w:after="0"/>
              <w:rPr>
                <w:sz w:val="20"/>
                <w:szCs w:val="20"/>
                <w:color w:val="auto"/>
              </w:rPr>
            </w:pPr>
            <w:r>
              <w:rPr>
                <w:rFonts w:ascii="Arial" w:cs="Arial" w:eastAsia="Arial" w:hAnsi="Arial"/>
                <w:sz w:val="18"/>
                <w:szCs w:val="18"/>
                <w:color w:val="auto"/>
              </w:rPr>
              <w:t>43,519</w:t>
            </w:r>
          </w:p>
        </w:tc>
        <w:tc>
          <w:tcPr>
            <w:tcW w:w="140" w:type="dxa"/>
            <w:vAlign w:val="bottom"/>
            <w:tcBorders>
              <w:top w:val="single" w:sz="8" w:color="EAF9E8"/>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EAF9E8"/>
            </w:tcBorders>
            <w:gridSpan w:val="2"/>
          </w:tcPr>
          <w:p>
            <w:pPr>
              <w:jc w:val="right"/>
              <w:ind w:right="120"/>
              <w:spacing w:after="0"/>
              <w:rPr>
                <w:sz w:val="20"/>
                <w:szCs w:val="20"/>
                <w:color w:val="auto"/>
              </w:rPr>
            </w:pPr>
            <w:r>
              <w:rPr>
                <w:rFonts w:ascii="Arial" w:cs="Arial" w:eastAsia="Arial" w:hAnsi="Arial"/>
                <w:sz w:val="18"/>
                <w:szCs w:val="18"/>
                <w:color w:val="auto"/>
              </w:rPr>
              <w:t>(386)</w:t>
            </w:r>
          </w:p>
        </w:tc>
        <w:tc>
          <w:tcPr>
            <w:tcW w:w="480" w:type="dxa"/>
            <w:vAlign w:val="bottom"/>
            <w:tcBorders>
              <w:top w:val="single" w:sz="8" w:color="EAF9E8"/>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EAF9E8"/>
            </w:tcBorders>
            <w:gridSpan w:val="2"/>
          </w:tcPr>
          <w:p>
            <w:pPr>
              <w:jc w:val="right"/>
              <w:ind w:right="100"/>
              <w:spacing w:after="0"/>
              <w:rPr>
                <w:sz w:val="20"/>
                <w:szCs w:val="20"/>
                <w:color w:val="auto"/>
              </w:rPr>
            </w:pPr>
            <w:r>
              <w:rPr>
                <w:rFonts w:ascii="Arial" w:cs="Arial" w:eastAsia="Arial" w:hAnsi="Arial"/>
                <w:sz w:val="18"/>
                <w:szCs w:val="18"/>
                <w:color w:val="auto"/>
              </w:rPr>
              <w:t>43,133</w:t>
            </w:r>
          </w:p>
        </w:tc>
      </w:tr>
      <w:tr>
        <w:trPr>
          <w:trHeight w:val="216"/>
        </w:trPr>
        <w:tc>
          <w:tcPr>
            <w:tcW w:w="20" w:type="dxa"/>
            <w:vAlign w:val="bottom"/>
          </w:tcPr>
          <w:p>
            <w:pPr>
              <w:spacing w:after="0"/>
              <w:rPr>
                <w:sz w:val="18"/>
                <w:szCs w:val="18"/>
                <w:color w:val="auto"/>
              </w:rPr>
            </w:pPr>
          </w:p>
        </w:tc>
        <w:tc>
          <w:tcPr>
            <w:tcW w:w="636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Income taxes receivable</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4,073</w:t>
            </w: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4,073</w:t>
            </w:r>
          </w:p>
        </w:tc>
      </w:tr>
      <w:tr>
        <w:trPr>
          <w:trHeight w:val="216"/>
        </w:trPr>
        <w:tc>
          <w:tcPr>
            <w:tcW w:w="20" w:type="dxa"/>
            <w:vAlign w:val="bottom"/>
          </w:tcPr>
          <w:p>
            <w:pPr>
              <w:spacing w:after="0"/>
              <w:rPr>
                <w:sz w:val="18"/>
                <w:szCs w:val="18"/>
                <w:color w:val="auto"/>
              </w:rPr>
            </w:pPr>
          </w:p>
        </w:tc>
        <w:tc>
          <w:tcPr>
            <w:tcW w:w="6360" w:type="dxa"/>
            <w:vAlign w:val="bottom"/>
            <w:gridSpan w:val="5"/>
          </w:tcPr>
          <w:p>
            <w:pPr>
              <w:spacing w:after="0"/>
              <w:rPr>
                <w:sz w:val="20"/>
                <w:szCs w:val="20"/>
                <w:color w:val="auto"/>
              </w:rPr>
            </w:pPr>
            <w:r>
              <w:rPr>
                <w:rFonts w:ascii="Arial" w:cs="Arial" w:eastAsia="Arial" w:hAnsi="Arial"/>
                <w:sz w:val="18"/>
                <w:szCs w:val="18"/>
                <w:color w:val="auto"/>
              </w:rPr>
              <w:t>Affordable housing (2)</w:t>
            </w:r>
          </w:p>
        </w:tc>
        <w:tc>
          <w:tcPr>
            <w:tcW w:w="1300" w:type="dxa"/>
            <w:vAlign w:val="bottom"/>
          </w:tcPr>
          <w:p>
            <w:pPr>
              <w:jc w:val="right"/>
              <w:spacing w:after="0"/>
              <w:rPr>
                <w:sz w:val="20"/>
                <w:szCs w:val="20"/>
                <w:color w:val="auto"/>
              </w:rPr>
            </w:pPr>
            <w:r>
              <w:rPr>
                <w:rFonts w:ascii="Arial" w:cs="Arial" w:eastAsia="Arial" w:hAnsi="Arial"/>
                <w:sz w:val="18"/>
                <w:szCs w:val="18"/>
                <w:color w:val="auto"/>
              </w:rPr>
              <w:t>7,014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(5,068)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r>
      <w:tr>
        <w:trPr>
          <w:trHeight w:val="216"/>
        </w:trPr>
        <w:tc>
          <w:tcPr>
            <w:tcW w:w="20" w:type="dxa"/>
            <w:vAlign w:val="bottom"/>
          </w:tcPr>
          <w:p>
            <w:pPr>
              <w:spacing w:after="0"/>
              <w:rPr>
                <w:sz w:val="18"/>
                <w:szCs w:val="18"/>
                <w:color w:val="auto"/>
              </w:rPr>
            </w:pPr>
          </w:p>
        </w:tc>
        <w:tc>
          <w:tcPr>
            <w:tcW w:w="636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Due from Altisource (3)</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2,356</w:t>
            </w: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2,356</w:t>
            </w:r>
          </w:p>
        </w:tc>
      </w:tr>
      <w:tr>
        <w:trPr>
          <w:trHeight w:val="216"/>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(1,246)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1,558</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10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4960" w:type="dxa"/>
            <w:vAlign w:val="bottom"/>
            <w:gridSpan w:val="2"/>
            <w:shd w:val="clear" w:color="auto" w:fill="EAF9E8"/>
          </w:tcPr>
          <w:p>
            <w:pPr>
              <w:spacing w:after="0"/>
              <w:rPr>
                <w:sz w:val="22"/>
                <w:szCs w:val="22"/>
                <w:color w:val="auto"/>
              </w:rPr>
            </w:pP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59,766</w:t>
            </w:r>
          </w:p>
        </w:tc>
        <w:tc>
          <w:tcPr>
            <w:tcW w:w="36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(6,700)</w:t>
            </w:r>
          </w:p>
        </w:tc>
        <w:tc>
          <w:tcPr>
            <w:tcW w:w="4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53,066</w:t>
            </w:r>
          </w:p>
        </w:tc>
      </w:tr>
      <w:tr>
        <w:trPr>
          <w:trHeight w:val="210"/>
        </w:trPr>
        <w:tc>
          <w:tcPr>
            <w:tcW w:w="20" w:type="dxa"/>
            <w:vAlign w:val="bottom"/>
          </w:tcPr>
          <w:p>
            <w:pPr>
              <w:spacing w:after="0"/>
              <w:rPr>
                <w:sz w:val="18"/>
                <w:szCs w:val="18"/>
                <w:color w:val="auto"/>
              </w:rPr>
            </w:pPr>
          </w:p>
        </w:tc>
        <w:tc>
          <w:tcPr>
            <w:tcW w:w="1020" w:type="dxa"/>
            <w:vAlign w:val="bottom"/>
            <w:tcBorders>
              <w:top w:val="single" w:sz="8" w:color="EAF9E8"/>
            </w:tcBorders>
          </w:tcPr>
          <w:p>
            <w:pPr>
              <w:spacing w:after="0"/>
              <w:rPr>
                <w:sz w:val="18"/>
                <w:szCs w:val="18"/>
                <w:color w:val="auto"/>
              </w:rPr>
            </w:pPr>
          </w:p>
        </w:tc>
        <w:tc>
          <w:tcPr>
            <w:tcW w:w="420" w:type="dxa"/>
            <w:vAlign w:val="bottom"/>
            <w:tcBorders>
              <w:top w:val="single" w:sz="8" w:color="EAF9E8"/>
            </w:tcBorders>
            <w:gridSpan w:val="2"/>
          </w:tcPr>
          <w:p>
            <w:pPr>
              <w:spacing w:after="0"/>
              <w:rPr>
                <w:sz w:val="18"/>
                <w:szCs w:val="18"/>
                <w:color w:val="auto"/>
              </w:rPr>
            </w:pPr>
          </w:p>
        </w:tc>
        <w:tc>
          <w:tcPr>
            <w:tcW w:w="472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gridSpan w:val="5"/>
            <w:shd w:val="clear" w:color="auto" w:fill="EAF9E8"/>
          </w:tcPr>
          <w:p>
            <w:pPr>
              <w:spacing w:after="0" w:line="202" w:lineRule="exact"/>
              <w:rPr>
                <w:sz w:val="20"/>
                <w:szCs w:val="20"/>
                <w:color w:val="auto"/>
              </w:rPr>
            </w:pPr>
            <w:r>
              <w:rPr>
                <w:rFonts w:ascii="Arial" w:cs="Arial" w:eastAsia="Arial" w:hAnsi="Arial"/>
                <w:sz w:val="18"/>
                <w:szCs w:val="18"/>
                <w:b w:val="1"/>
                <w:bCs w:val="1"/>
                <w:color w:val="auto"/>
              </w:rPr>
              <w:t>December 31, 2010</w:t>
            </w:r>
          </w:p>
        </w:tc>
        <w:tc>
          <w:tcPr>
            <w:tcW w:w="13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Servicing (1)</w:t>
            </w:r>
          </w:p>
        </w:tc>
        <w:tc>
          <w:tcPr>
            <w:tcW w:w="240" w:type="dxa"/>
            <w:vAlign w:val="bottom"/>
            <w:tcBorders>
              <w:top w:val="single" w:sz="8" w:color="auto"/>
            </w:tcBorders>
          </w:tcPr>
          <w:p>
            <w:pPr>
              <w:spacing w:after="0"/>
              <w:rPr>
                <w:sz w:val="18"/>
                <w:szCs w:val="18"/>
                <w:color w:val="auto"/>
              </w:rPr>
            </w:pPr>
          </w:p>
        </w:tc>
        <w:tc>
          <w:tcPr>
            <w:tcW w:w="4920" w:type="dxa"/>
            <w:vAlign w:val="bottom"/>
            <w:tcBorders>
              <w:top w:val="single" w:sz="8" w:color="EAF9E8"/>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EAF9E8"/>
            </w:tcBorders>
            <w:gridSpan w:val="2"/>
          </w:tcPr>
          <w:p>
            <w:pPr>
              <w:jc w:val="right"/>
              <w:ind w:right="360"/>
              <w:spacing w:after="0"/>
              <w:rPr>
                <w:sz w:val="20"/>
                <w:szCs w:val="20"/>
                <w:color w:val="auto"/>
              </w:rPr>
            </w:pPr>
            <w:r>
              <w:rPr>
                <w:rFonts w:ascii="Arial" w:cs="Arial" w:eastAsia="Arial" w:hAnsi="Arial"/>
                <w:sz w:val="18"/>
                <w:szCs w:val="18"/>
                <w:color w:val="auto"/>
              </w:rPr>
              <w:t>59,436</w:t>
            </w:r>
          </w:p>
        </w:tc>
        <w:tc>
          <w:tcPr>
            <w:tcW w:w="140" w:type="dxa"/>
            <w:vAlign w:val="bottom"/>
            <w:tcBorders>
              <w:top w:val="single" w:sz="8" w:color="EAF9E8"/>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EAF9E8"/>
            </w:tcBorders>
            <w:gridSpan w:val="2"/>
          </w:tcPr>
          <w:p>
            <w:pPr>
              <w:jc w:val="right"/>
              <w:ind w:right="120"/>
              <w:spacing w:after="0"/>
              <w:rPr>
                <w:sz w:val="20"/>
                <w:szCs w:val="20"/>
                <w:color w:val="auto"/>
              </w:rPr>
            </w:pPr>
            <w:r>
              <w:rPr>
                <w:rFonts w:ascii="Arial" w:cs="Arial" w:eastAsia="Arial" w:hAnsi="Arial"/>
                <w:sz w:val="18"/>
                <w:szCs w:val="18"/>
                <w:color w:val="auto"/>
              </w:rPr>
              <w:t>(262)</w:t>
            </w:r>
          </w:p>
        </w:tc>
        <w:tc>
          <w:tcPr>
            <w:tcW w:w="480" w:type="dxa"/>
            <w:vAlign w:val="bottom"/>
            <w:tcBorders>
              <w:top w:val="single" w:sz="8" w:color="EAF9E8"/>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EAF9E8"/>
            </w:tcBorders>
            <w:gridSpan w:val="2"/>
          </w:tcPr>
          <w:p>
            <w:pPr>
              <w:jc w:val="right"/>
              <w:ind w:right="100"/>
              <w:spacing w:after="0"/>
              <w:rPr>
                <w:sz w:val="20"/>
                <w:szCs w:val="20"/>
                <w:color w:val="auto"/>
              </w:rPr>
            </w:pPr>
            <w:r>
              <w:rPr>
                <w:rFonts w:ascii="Arial" w:cs="Arial" w:eastAsia="Arial" w:hAnsi="Arial"/>
                <w:sz w:val="18"/>
                <w:szCs w:val="18"/>
                <w:color w:val="auto"/>
              </w:rPr>
              <w:t>59,174</w:t>
            </w:r>
          </w:p>
        </w:tc>
      </w:tr>
      <w:tr>
        <w:trPr>
          <w:trHeight w:val="216"/>
        </w:trPr>
        <w:tc>
          <w:tcPr>
            <w:tcW w:w="20" w:type="dxa"/>
            <w:vAlign w:val="bottom"/>
          </w:tcPr>
          <w:p>
            <w:pPr>
              <w:spacing w:after="0"/>
              <w:rPr>
                <w:sz w:val="18"/>
                <w:szCs w:val="18"/>
                <w:color w:val="auto"/>
              </w:rPr>
            </w:pPr>
          </w:p>
        </w:tc>
        <w:tc>
          <w:tcPr>
            <w:tcW w:w="636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Income taxes receivable</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3,620</w:t>
            </w: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3,620</w:t>
            </w:r>
          </w:p>
        </w:tc>
      </w:tr>
      <w:tr>
        <w:trPr>
          <w:trHeight w:val="216"/>
        </w:trPr>
        <w:tc>
          <w:tcPr>
            <w:tcW w:w="20" w:type="dxa"/>
            <w:vAlign w:val="bottom"/>
          </w:tcPr>
          <w:p>
            <w:pPr>
              <w:spacing w:after="0"/>
              <w:rPr>
                <w:sz w:val="18"/>
                <w:szCs w:val="18"/>
                <w:color w:val="auto"/>
              </w:rPr>
            </w:pPr>
          </w:p>
        </w:tc>
        <w:tc>
          <w:tcPr>
            <w:tcW w:w="6360" w:type="dxa"/>
            <w:vAlign w:val="bottom"/>
            <w:gridSpan w:val="5"/>
          </w:tcPr>
          <w:p>
            <w:pPr>
              <w:spacing w:after="0"/>
              <w:rPr>
                <w:sz w:val="20"/>
                <w:szCs w:val="20"/>
                <w:color w:val="auto"/>
              </w:rPr>
            </w:pPr>
            <w:r>
              <w:rPr>
                <w:rFonts w:ascii="Arial" w:cs="Arial" w:eastAsia="Arial" w:hAnsi="Arial"/>
                <w:sz w:val="18"/>
                <w:szCs w:val="18"/>
                <w:color w:val="auto"/>
              </w:rPr>
              <w:t>Affordable housing (2)</w:t>
            </w:r>
          </w:p>
        </w:tc>
        <w:tc>
          <w:tcPr>
            <w:tcW w:w="1300" w:type="dxa"/>
            <w:vAlign w:val="bottom"/>
          </w:tcPr>
          <w:p>
            <w:pPr>
              <w:jc w:val="right"/>
              <w:spacing w:after="0"/>
              <w:rPr>
                <w:sz w:val="20"/>
                <w:szCs w:val="20"/>
                <w:color w:val="auto"/>
              </w:rPr>
            </w:pPr>
            <w:r>
              <w:rPr>
                <w:rFonts w:ascii="Arial" w:cs="Arial" w:eastAsia="Arial" w:hAnsi="Arial"/>
                <w:sz w:val="18"/>
                <w:szCs w:val="18"/>
                <w:color w:val="auto"/>
              </w:rPr>
              <w:t>6,882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(5,866)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216"/>
        </w:trPr>
        <w:tc>
          <w:tcPr>
            <w:tcW w:w="20" w:type="dxa"/>
            <w:vAlign w:val="bottom"/>
          </w:tcPr>
          <w:p>
            <w:pPr>
              <w:spacing w:after="0"/>
              <w:rPr>
                <w:sz w:val="18"/>
                <w:szCs w:val="18"/>
                <w:color w:val="auto"/>
              </w:rPr>
            </w:pPr>
          </w:p>
        </w:tc>
        <w:tc>
          <w:tcPr>
            <w:tcW w:w="6360" w:type="dxa"/>
            <w:vAlign w:val="bottom"/>
            <w:gridSpan w:val="5"/>
            <w:shd w:val="clear" w:color="auto" w:fill="EAF9E8"/>
          </w:tcPr>
          <w:p>
            <w:pPr>
              <w:spacing w:after="0"/>
              <w:rPr>
                <w:sz w:val="20"/>
                <w:szCs w:val="20"/>
                <w:color w:val="auto"/>
              </w:rPr>
            </w:pPr>
            <w:r>
              <w:rPr>
                <w:rFonts w:ascii="Arial" w:cs="Arial" w:eastAsia="Arial" w:hAnsi="Arial"/>
                <w:sz w:val="18"/>
                <w:szCs w:val="18"/>
                <w:color w:val="auto"/>
              </w:rPr>
              <w:t>Due from Altisource (3)</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2,445</w:t>
            </w:r>
          </w:p>
        </w:tc>
        <w:tc>
          <w:tcPr>
            <w:tcW w:w="3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2,445</w:t>
            </w:r>
          </w:p>
        </w:tc>
      </w:tr>
      <w:tr>
        <w:trPr>
          <w:trHeight w:val="216"/>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4,586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(1,323)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3,263</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4960" w:type="dxa"/>
            <w:vAlign w:val="bottom"/>
            <w:gridSpan w:val="2"/>
            <w:shd w:val="clear" w:color="auto" w:fill="EAF9E8"/>
          </w:tcPr>
          <w:p>
            <w:pPr>
              <w:spacing w:after="0"/>
              <w:rPr>
                <w:sz w:val="20"/>
                <w:szCs w:val="20"/>
                <w:color w:val="auto"/>
              </w:rPr>
            </w:pP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76,969</w:t>
            </w:r>
          </w:p>
        </w:tc>
        <w:tc>
          <w:tcPr>
            <w:tcW w:w="360" w:type="dxa"/>
            <w:vAlign w:val="bottom"/>
            <w:shd w:val="clear" w:color="auto" w:fill="EAF9E8"/>
          </w:tcPr>
          <w:p>
            <w:pPr>
              <w:spacing w:after="0"/>
              <w:rPr>
                <w:sz w:val="20"/>
                <w:szCs w:val="20"/>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(7,451)</w:t>
            </w:r>
          </w:p>
        </w:tc>
        <w:tc>
          <w:tcPr>
            <w:tcW w:w="4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69,518</w:t>
            </w: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472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ind w:left="580" w:right="200" w:hanging="572"/>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balances at June 30, 2011 and December 31, 2010 arise from our Servicing business and primarily include reimbursable expenditures due from investors and amounts to be recovered from the custodial accounts of the trustees.</w:t>
      </w:r>
    </w:p>
    <w:p>
      <w:pPr>
        <w:spacing w:after="0" w:line="170" w:lineRule="exact"/>
        <w:rPr>
          <w:rFonts w:ascii="Arial" w:cs="Arial" w:eastAsia="Arial" w:hAnsi="Arial"/>
          <w:sz w:val="18"/>
          <w:szCs w:val="18"/>
          <w:color w:val="auto"/>
        </w:rPr>
      </w:pPr>
    </w:p>
    <w:p>
      <w:pPr>
        <w:ind w:left="580" w:right="60" w:hanging="572"/>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balances at June 30, 2011 and December 31, 2010 primarily represent annual payments to be received through June 2014 for proceeds from sales of investments in affordable housing properties. None of these receivables is delinquent.</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Note 20 for additional information regarding our relationship with Altisource.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ind w:right="160" w:firstLine="324"/>
        <w:spacing w:after="0" w:line="277" w:lineRule="auto"/>
        <w:rPr>
          <w:sz w:val="20"/>
          <w:szCs w:val="20"/>
          <w:color w:val="auto"/>
        </w:rPr>
      </w:pPr>
      <w:r>
        <w:rPr>
          <w:rFonts w:ascii="Arial" w:cs="Arial" w:eastAsia="Arial" w:hAnsi="Arial"/>
          <w:sz w:val="18"/>
          <w:szCs w:val="18"/>
          <w:color w:val="auto"/>
        </w:rPr>
        <w:t>Receivable balances are evaluated individually. The change in the allowance for credit losses for the six months ended June 30, 2011 and the balance of the related receivables at those dates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Affordable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Housing</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Beginning allowance for credit losses balance</w:t>
            </w:r>
          </w:p>
        </w:tc>
        <w:tc>
          <w:tcPr>
            <w:tcW w:w="84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5,866</w:t>
            </w: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1,323</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Charge offs</w:t>
            </w:r>
          </w:p>
        </w:tc>
        <w:tc>
          <w:tcPr>
            <w:tcW w:w="4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Recoveries</w:t>
            </w:r>
          </w:p>
        </w:tc>
        <w:tc>
          <w:tcPr>
            <w:tcW w:w="410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EAF9E8"/>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160"/>
              <w:spacing w:after="0"/>
              <w:rPr>
                <w:sz w:val="20"/>
                <w:szCs w:val="20"/>
                <w:color w:val="auto"/>
              </w:rPr>
            </w:pPr>
            <w:r>
              <w:rPr>
                <w:rFonts w:ascii="Arial" w:cs="Arial" w:eastAsia="Arial" w:hAnsi="Arial"/>
                <w:sz w:val="18"/>
                <w:szCs w:val="18"/>
                <w:color w:val="auto"/>
              </w:rPr>
              <w:t>Provision (reversal), net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Ending allowance for credit losses balance</w:t>
            </w:r>
          </w:p>
        </w:tc>
        <w:tc>
          <w:tcPr>
            <w:tcW w:w="62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5,068</w:t>
            </w: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1,246</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EAF9E8"/>
            </w:tcBorders>
            <w:gridSpan w:val="2"/>
          </w:tcPr>
          <w:p>
            <w:pPr>
              <w:spacing w:after="0"/>
              <w:rPr>
                <w:sz w:val="18"/>
                <w:szCs w:val="18"/>
                <w:color w:val="auto"/>
              </w:rPr>
            </w:pPr>
          </w:p>
        </w:tc>
        <w:tc>
          <w:tcPr>
            <w:tcW w:w="62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Ending receivables balance</w:t>
            </w:r>
          </w:p>
        </w:tc>
        <w:tc>
          <w:tcPr>
            <w:tcW w:w="620" w:type="dxa"/>
            <w:vAlign w:val="bottom"/>
            <w:shd w:val="clear" w:color="auto" w:fill="EAF9E8"/>
          </w:tcPr>
          <w:p>
            <w:pPr>
              <w:spacing w:after="0"/>
              <w:rPr>
                <w:sz w:val="20"/>
                <w:szCs w:val="20"/>
                <w:color w:val="auto"/>
              </w:rPr>
            </w:pP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7,014</w:t>
            </w: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2,804</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EAF9E8"/>
            </w:tcBorders>
            <w:shd w:val="clear" w:color="auto" w:fill="EAF9E8"/>
          </w:tcPr>
          <w:p>
            <w:pPr>
              <w:spacing w:after="0" w:line="20" w:lineRule="exact"/>
              <w:rPr>
                <w:sz w:val="1"/>
                <w:szCs w:val="1"/>
                <w:color w:val="auto"/>
              </w:rPr>
            </w:pPr>
          </w:p>
        </w:tc>
        <w:tc>
          <w:tcPr>
            <w:tcW w:w="4100" w:type="dxa"/>
            <w:vAlign w:val="bottom"/>
            <w:tcBorders>
              <w:top w:val="single" w:sz="8" w:color="EAF9E8"/>
            </w:tcBorders>
            <w:shd w:val="clear" w:color="auto" w:fill="EAF9E8"/>
          </w:tcPr>
          <w:p>
            <w:pPr>
              <w:spacing w:after="0" w:line="20" w:lineRule="exact"/>
              <w:rPr>
                <w:sz w:val="1"/>
                <w:szCs w:val="1"/>
                <w:color w:val="auto"/>
              </w:rPr>
            </w:pPr>
          </w:p>
        </w:tc>
        <w:tc>
          <w:tcPr>
            <w:tcW w:w="6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NOTE 10</w:t>
            </w:r>
          </w:p>
        </w:tc>
        <w:tc>
          <w:tcPr>
            <w:tcW w:w="4100" w:type="dxa"/>
            <w:vAlign w:val="bottom"/>
          </w:tcPr>
          <w:p>
            <w:pPr>
              <w:ind w:left="140"/>
              <w:spacing w:after="0"/>
              <w:rPr>
                <w:sz w:val="20"/>
                <w:szCs w:val="20"/>
                <w:color w:val="auto"/>
              </w:rPr>
            </w:pPr>
            <w:r>
              <w:rPr>
                <w:rFonts w:ascii="Arial" w:cs="Arial" w:eastAsia="Arial" w:hAnsi="Arial"/>
                <w:sz w:val="18"/>
                <w:szCs w:val="18"/>
                <w:b w:val="1"/>
                <w:bCs w:val="1"/>
                <w:color w:val="auto"/>
              </w:rPr>
              <w:t>OTHER ASSETS</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20" w:type="dxa"/>
            <w:vAlign w:val="bottom"/>
            <w:gridSpan w:val="2"/>
          </w:tcPr>
          <w:p>
            <w:pPr>
              <w:ind w:left="320"/>
              <w:spacing w:after="0"/>
              <w:rPr>
                <w:sz w:val="20"/>
                <w:szCs w:val="20"/>
                <w:color w:val="auto"/>
              </w:rPr>
            </w:pPr>
            <w:r>
              <w:rPr>
                <w:rFonts w:ascii="Arial" w:cs="Arial" w:eastAsia="Arial" w:hAnsi="Arial"/>
                <w:sz w:val="18"/>
                <w:szCs w:val="18"/>
                <w:color w:val="auto"/>
              </w:rPr>
              <w:t>Other assets consisted of the following at the dates indicated:</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service accounts (1)</w:t>
            </w:r>
          </w:p>
        </w:tc>
        <w:tc>
          <w:tcPr>
            <w:tcW w:w="6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53,656</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Interest earning collateral deposits (2)</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27,264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Prepaid lender fees and debt issuance costs, net (3)</w:t>
            </w:r>
          </w:p>
        </w:tc>
        <w:tc>
          <w:tcPr>
            <w:tcW w:w="6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11,743</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Term note (4)</w:t>
            </w:r>
          </w:p>
        </w:tc>
        <w:tc>
          <w:tcPr>
            <w:tcW w:w="4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4,200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EAF9E8"/>
          </w:tcPr>
          <w:p>
            <w:pPr>
              <w:spacing w:after="0"/>
              <w:rPr>
                <w:sz w:val="20"/>
                <w:szCs w:val="20"/>
                <w:color w:val="auto"/>
              </w:rPr>
            </w:pPr>
            <w:r>
              <w:rPr>
                <w:rFonts w:ascii="Arial" w:cs="Arial" w:eastAsia="Arial" w:hAnsi="Arial"/>
                <w:sz w:val="18"/>
                <w:szCs w:val="18"/>
                <w:color w:val="auto"/>
                <w:w w:val="95"/>
              </w:rPr>
              <w:t>Real estate, net</w:t>
            </w:r>
          </w:p>
        </w:tc>
        <w:tc>
          <w:tcPr>
            <w:tcW w:w="410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3,910</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Other</w:t>
            </w:r>
          </w:p>
        </w:tc>
        <w:tc>
          <w:tcPr>
            <w:tcW w:w="4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shd w:val="clear" w:color="auto" w:fill="EAF9E8"/>
          </w:tcPr>
          <w:p>
            <w:pPr>
              <w:spacing w:after="0"/>
              <w:rPr>
                <w:sz w:val="20"/>
                <w:szCs w:val="20"/>
                <w:color w:val="auto"/>
              </w:rPr>
            </w:pPr>
          </w:p>
        </w:tc>
        <w:tc>
          <w:tcPr>
            <w:tcW w:w="4100" w:type="dxa"/>
            <w:vAlign w:val="bottom"/>
            <w:shd w:val="clear" w:color="auto" w:fill="EAF9E8"/>
          </w:tcPr>
          <w:p>
            <w:pPr>
              <w:spacing w:after="0"/>
              <w:rPr>
                <w:sz w:val="20"/>
                <w:szCs w:val="20"/>
                <w:color w:val="auto"/>
              </w:rPr>
            </w:pPr>
          </w:p>
        </w:tc>
        <w:tc>
          <w:tcPr>
            <w:tcW w:w="62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28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4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110,899</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158,282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EAF9E8"/>
            </w:tcBorders>
            <w:shd w:val="clear" w:color="auto" w:fill="EAF9E8"/>
          </w:tcPr>
          <w:p>
            <w:pPr>
              <w:spacing w:after="0" w:line="20" w:lineRule="exact"/>
              <w:rPr>
                <w:sz w:val="1"/>
                <w:szCs w:val="1"/>
                <w:color w:val="auto"/>
              </w:rPr>
            </w:pPr>
          </w:p>
        </w:tc>
        <w:tc>
          <w:tcPr>
            <w:tcW w:w="4100" w:type="dxa"/>
            <w:vAlign w:val="bottom"/>
            <w:tcBorders>
              <w:top w:val="single" w:sz="8" w:color="EAF9E8"/>
            </w:tcBorders>
            <w:shd w:val="clear" w:color="auto" w:fill="EAF9E8"/>
          </w:tcPr>
          <w:p>
            <w:pPr>
              <w:spacing w:after="0" w:line="20" w:lineRule="exact"/>
              <w:rPr>
                <w:sz w:val="1"/>
                <w:szCs w:val="1"/>
                <w:color w:val="auto"/>
              </w:rPr>
            </w:pPr>
          </w:p>
        </w:tc>
        <w:tc>
          <w:tcPr>
            <w:tcW w:w="6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28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right w:val="single" w:sz="8" w:color="auto"/>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160" w:hanging="572"/>
        <w:spacing w:after="0" w:line="279" w:lineRule="auto"/>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Under our three advance funding facilities, we are contractually required to remit collections on pledged advances to the trustee within two days of receipt. The collected funds are not applied to reduce the related match funded debt until the payment dates specified in the indenture. The balance also includes amounts that have been set aside from the proceeds of our four match funded advance facilities to provide for possible shortfalls in the funds available to pay certain expenses and interest. These funds are held in interest earning accounts.</w:t>
      </w:r>
    </w:p>
    <w:p>
      <w:pPr>
        <w:spacing w:after="0" w:line="171" w:lineRule="exact"/>
        <w:rPr>
          <w:rFonts w:ascii="Arial" w:cs="Arial" w:eastAsia="Arial" w:hAnsi="Arial"/>
          <w:sz w:val="17"/>
          <w:szCs w:val="17"/>
          <w:color w:val="auto"/>
        </w:rPr>
      </w:pPr>
    </w:p>
    <w:p>
      <w:pPr>
        <w:ind w:left="580" w:right="60" w:hanging="572"/>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$19,265 and $18,684 of cash collateral held by the counterparties to our interest rate swap agreements as at June 30, 2011 and December 31, 2010, respectively.</w:t>
      </w:r>
    </w:p>
    <w:p>
      <w:pPr>
        <w:spacing w:after="0" w:line="170" w:lineRule="exact"/>
        <w:rPr>
          <w:rFonts w:ascii="Arial" w:cs="Arial" w:eastAsia="Arial" w:hAnsi="Arial"/>
          <w:sz w:val="18"/>
          <w:szCs w:val="18"/>
          <w:color w:val="auto"/>
        </w:rPr>
      </w:pPr>
    </w:p>
    <w:p>
      <w:pPr>
        <w:ind w:left="580" w:right="60" w:hanging="572"/>
        <w:spacing w:after="0" w:line="259"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at June 30, 2011 and December 31, 2010 relate to match funded liabilities and other secured borrowings of the Servicing segment. We amortize these costs to the earlier of the scheduled amortization date, contractual maturity date or prepayment date of the debt. We amortized the debt issuance costs related to the $350,000 senior secured term loan through June 9, 2011 when we terminated the facility and repaid the remaining outstanding balance.</w:t>
      </w:r>
    </w:p>
    <w:p>
      <w:pPr>
        <w:spacing w:after="0" w:line="186" w:lineRule="exact"/>
        <w:rPr>
          <w:rFonts w:ascii="Arial" w:cs="Arial" w:eastAsia="Arial" w:hAnsi="Arial"/>
          <w:sz w:val="18"/>
          <w:szCs w:val="18"/>
          <w:color w:val="auto"/>
        </w:rPr>
      </w:pPr>
    </w:p>
    <w:p>
      <w:pPr>
        <w:ind w:left="580" w:right="140" w:hanging="572"/>
        <w:spacing w:after="0" w:line="255"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March 2009, we issued a $7,000 note receivable, maturing on April 1, 2014, in connection with advances funded by the Ocwen Servicer Advance Funding, LLC (OSAF) term note pledged as collateral, as described in Note 13. We receive 1-Month LIBOR plus 300 basis points (bps) under the terms of this note receivable. Under the terms of the note, repayments of $1,400 per year are required beginning April 1, 2010. We are obligated to pay 1-Month LIBOR plus 350 bps under the terms of a five-year note payable to the same counterparty. We do not have a contractual right to offset these payments. This note is performing in accordance with its terms and we have not recognized an allowance for credit losses at June 30, 2011 or December 31, 2010.</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9" w:name="page20"/>
    <w:bookmarkEnd w:id="19"/>
    <w:p>
      <w:pPr>
        <w:spacing w:after="0"/>
        <w:tabs>
          <w:tab w:leader="none" w:pos="13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MATCH FUNDED LIABILITIES</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Match funded liabilities, as more fully described in Note 1—Principles of Consolidation – Match Funded Advances on Loans Serviced for Others, are comprised of the following at: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Unused</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Balance Outstanding</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Borrowing Type</w:t>
            </w:r>
          </w:p>
        </w:tc>
        <w:tc>
          <w:tcPr>
            <w:tcW w:w="240" w:type="dxa"/>
            <w:vAlign w:val="bottom"/>
          </w:tcPr>
          <w:p>
            <w:pPr>
              <w:spacing w:after="0"/>
              <w:rPr>
                <w:sz w:val="10"/>
                <w:szCs w:val="10"/>
                <w:color w:val="auto"/>
              </w:rPr>
            </w:pPr>
          </w:p>
        </w:tc>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Interest Rate</w:t>
            </w:r>
          </w:p>
        </w:tc>
        <w:tc>
          <w:tcPr>
            <w:tcW w:w="220" w:type="dxa"/>
            <w:vAlign w:val="bottom"/>
          </w:tcPr>
          <w:p>
            <w:pPr>
              <w:spacing w:after="0"/>
              <w:rPr>
                <w:sz w:val="10"/>
                <w:szCs w:val="10"/>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(1)</w:t>
            </w:r>
          </w:p>
        </w:tc>
        <w:tc>
          <w:tcPr>
            <w:tcW w:w="220" w:type="dxa"/>
            <w:vAlign w:val="bottom"/>
          </w:tcPr>
          <w:p>
            <w:pPr>
              <w:spacing w:after="0"/>
              <w:rPr>
                <w:sz w:val="10"/>
                <w:szCs w:val="10"/>
                <w:color w:val="auto"/>
              </w:rPr>
            </w:pPr>
          </w:p>
        </w:tc>
        <w:tc>
          <w:tcPr>
            <w:tcW w:w="11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center"/>
              <w:ind w:right="108"/>
              <w:spacing w:after="0" w:line="126" w:lineRule="exact"/>
              <w:rPr>
                <w:sz w:val="20"/>
                <w:szCs w:val="20"/>
                <w:color w:val="auto"/>
              </w:rPr>
            </w:pPr>
            <w:r>
              <w:rPr>
                <w:rFonts w:ascii="Arial" w:cs="Arial" w:eastAsia="Arial" w:hAnsi="Arial"/>
                <w:sz w:val="14"/>
                <w:szCs w:val="14"/>
                <w:b w:val="1"/>
                <w:bCs w:val="1"/>
                <w:color w:val="auto"/>
                <w:w w:val="94"/>
              </w:rPr>
              <w:t>Borrowing</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380"/>
              <w:spacing w:after="0" w:line="126"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0"/>
                <w:szCs w:val="10"/>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Date (1)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Capacity (2)</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Borders>
              <w:top w:val="single" w:sz="8" w:color="auto"/>
            </w:tcBorders>
            <w:shd w:val="clear" w:color="auto" w:fill="EAF9E8"/>
          </w:tcPr>
          <w:p>
            <w:pPr>
              <w:spacing w:after="0" w:line="130" w:lineRule="exact"/>
              <w:rPr>
                <w:sz w:val="20"/>
                <w:szCs w:val="20"/>
                <w:color w:val="auto"/>
              </w:rPr>
            </w:pPr>
            <w:r>
              <w:rPr>
                <w:rFonts w:ascii="Arial" w:cs="Arial" w:eastAsia="Arial" w:hAnsi="Arial"/>
                <w:sz w:val="14"/>
                <w:szCs w:val="14"/>
                <w:color w:val="auto"/>
              </w:rPr>
              <w:t>Advance Receivable Backed Note</w:t>
            </w:r>
          </w:p>
        </w:tc>
        <w:tc>
          <w:tcPr>
            <w:tcW w:w="240" w:type="dxa"/>
            <w:vAlign w:val="bottom"/>
            <w:shd w:val="clear" w:color="auto" w:fill="EAF9E8"/>
          </w:tcPr>
          <w:p>
            <w:pPr>
              <w:spacing w:after="0"/>
              <w:rPr>
                <w:sz w:val="11"/>
                <w:szCs w:val="11"/>
                <w:color w:val="auto"/>
              </w:rPr>
            </w:pPr>
          </w:p>
        </w:tc>
        <w:tc>
          <w:tcPr>
            <w:tcW w:w="148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16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160" w:type="dxa"/>
            <w:vAlign w:val="bottom"/>
            <w:tcBorders>
              <w:top w:val="single" w:sz="8" w:color="auto"/>
            </w:tcBorders>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tcBorders>
              <w:top w:val="single" w:sz="8" w:color="auto"/>
            </w:tcBorders>
            <w:shd w:val="clear" w:color="auto" w:fill="EAF9E8"/>
          </w:tcPr>
          <w:p>
            <w:pPr>
              <w:spacing w:after="0"/>
              <w:rPr>
                <w:sz w:val="11"/>
                <w:szCs w:val="11"/>
                <w:color w:val="auto"/>
              </w:rPr>
            </w:pPr>
          </w:p>
        </w:tc>
        <w:tc>
          <w:tcPr>
            <w:tcW w:w="1120" w:type="dxa"/>
            <w:vAlign w:val="bottom"/>
            <w:tcBorders>
              <w:top w:val="single" w:sz="8" w:color="auto"/>
            </w:tcBorders>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220" w:type="dxa"/>
            <w:vAlign w:val="bottom"/>
            <w:tcBorders>
              <w:top w:val="single" w:sz="8" w:color="auto"/>
            </w:tcBorders>
            <w:shd w:val="clear" w:color="auto" w:fill="EAF9E8"/>
          </w:tcPr>
          <w:p>
            <w:pPr>
              <w:spacing w:after="0"/>
              <w:rPr>
                <w:sz w:val="11"/>
                <w:szCs w:val="11"/>
                <w:color w:val="auto"/>
              </w:rPr>
            </w:pPr>
          </w:p>
        </w:tc>
        <w:tc>
          <w:tcPr>
            <w:tcW w:w="1020" w:type="dxa"/>
            <w:vAlign w:val="bottom"/>
            <w:tcBorders>
              <w:top w:val="single" w:sz="8" w:color="auto"/>
            </w:tcBorders>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580" w:type="dxa"/>
            <w:vAlign w:val="bottom"/>
            <w:tcBorders>
              <w:top w:val="single" w:sz="8" w:color="auto"/>
            </w:tcBorders>
            <w:shd w:val="clear" w:color="auto" w:fill="EAF9E8"/>
          </w:tcPr>
          <w:p>
            <w:pPr>
              <w:spacing w:after="0"/>
              <w:rPr>
                <w:sz w:val="11"/>
                <w:szCs w:val="11"/>
                <w:color w:val="auto"/>
              </w:rPr>
            </w:pPr>
          </w:p>
        </w:tc>
        <w:tc>
          <w:tcPr>
            <w:tcW w:w="680" w:type="dxa"/>
            <w:vAlign w:val="bottom"/>
            <w:tcBorders>
              <w:top w:val="single" w:sz="8" w:color="auto"/>
            </w:tcBorders>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Series 2009-3 (3)</w:t>
            </w:r>
          </w:p>
        </w:tc>
        <w:tc>
          <w:tcPr>
            <w:tcW w:w="1720" w:type="dxa"/>
            <w:vAlign w:val="bottom"/>
            <w:gridSpan w:val="2"/>
            <w:shd w:val="clear" w:color="auto" w:fill="EAF9E8"/>
          </w:tcPr>
          <w:p>
            <w:pPr>
              <w:jc w:val="right"/>
              <w:ind w:right="1008"/>
              <w:spacing w:after="0"/>
              <w:rPr>
                <w:sz w:val="20"/>
                <w:szCs w:val="20"/>
                <w:color w:val="auto"/>
              </w:rPr>
            </w:pPr>
            <w:r>
              <w:rPr>
                <w:rFonts w:ascii="Arial" w:cs="Arial" w:eastAsia="Arial" w:hAnsi="Arial"/>
                <w:sz w:val="14"/>
                <w:szCs w:val="14"/>
                <w:color w:val="auto"/>
              </w:rPr>
              <w:t>4.14%</w:t>
            </w:r>
          </w:p>
        </w:tc>
        <w:tc>
          <w:tcPr>
            <w:tcW w:w="220" w:type="dxa"/>
            <w:vAlign w:val="bottom"/>
            <w:shd w:val="clear" w:color="auto" w:fill="EAF9E8"/>
          </w:tcPr>
          <w:p>
            <w:pPr>
              <w:spacing w:after="0"/>
              <w:rPr>
                <w:sz w:val="14"/>
                <w:szCs w:val="14"/>
                <w:color w:val="auto"/>
              </w:rPr>
            </w:pPr>
          </w:p>
        </w:tc>
        <w:tc>
          <w:tcPr>
            <w:tcW w:w="11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Jul. 2023</w:t>
            </w:r>
          </w:p>
        </w:tc>
        <w:tc>
          <w:tcPr>
            <w:tcW w:w="220" w:type="dxa"/>
            <w:vAlign w:val="bottom"/>
            <w:shd w:val="clear" w:color="auto" w:fill="EAF9E8"/>
          </w:tcPr>
          <w:p>
            <w:pPr>
              <w:spacing w:after="0"/>
              <w:rPr>
                <w:sz w:val="14"/>
                <w:szCs w:val="14"/>
                <w:color w:val="auto"/>
              </w:rPr>
            </w:pPr>
          </w:p>
        </w:tc>
        <w:tc>
          <w:tcPr>
            <w:tcW w:w="11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Jul. 2012</w:t>
            </w:r>
          </w:p>
        </w:tc>
        <w:tc>
          <w:tcPr>
            <w:tcW w:w="380" w:type="dxa"/>
            <w:vAlign w:val="bottom"/>
            <w:gridSpan w:val="2"/>
            <w:shd w:val="clear" w:color="auto" w:fill="EAF9E8"/>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EAF9E8"/>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210,000</w:t>
            </w:r>
          </w:p>
        </w:tc>
        <w:tc>
          <w:tcPr>
            <w:tcW w:w="740" w:type="dxa"/>
            <w:vAlign w:val="bottom"/>
            <w:gridSpan w:val="2"/>
            <w:shd w:val="clear" w:color="auto" w:fill="EAF9E8"/>
          </w:tcPr>
          <w:p>
            <w:pPr>
              <w:jc w:val="right"/>
              <w:ind w:right="4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210,000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w w:val="92"/>
              </w:rPr>
              <w:t>Variable Funding Note Series 2009-2</w:t>
            </w:r>
          </w:p>
        </w:tc>
        <w:tc>
          <w:tcPr>
            <w:tcW w:w="240" w:type="dxa"/>
            <w:vAlign w:val="bottom"/>
          </w:tcPr>
          <w:p>
            <w:pPr>
              <w:spacing w:after="0"/>
              <w:rPr>
                <w:sz w:val="11"/>
                <w:szCs w:val="11"/>
                <w:color w:val="auto"/>
              </w:rPr>
            </w:pPr>
          </w:p>
        </w:tc>
        <w:tc>
          <w:tcPr>
            <w:tcW w:w="1480" w:type="dxa"/>
            <w:vAlign w:val="bottom"/>
          </w:tcPr>
          <w:p>
            <w:pPr>
              <w:spacing w:after="0" w:line="130" w:lineRule="exact"/>
              <w:rPr>
                <w:sz w:val="20"/>
                <w:szCs w:val="20"/>
                <w:color w:val="auto"/>
              </w:rPr>
            </w:pPr>
            <w:r>
              <w:rPr>
                <w:rFonts w:ascii="Arial" w:cs="Arial" w:eastAsia="Arial" w:hAnsi="Arial"/>
                <w:sz w:val="14"/>
                <w:szCs w:val="14"/>
                <w:color w:val="auto"/>
              </w:rPr>
              <w:t>1-Month LIBOR + 350</w:t>
            </w: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tcPr>
          <w:p>
            <w:pPr>
              <w:ind w:left="180"/>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1480" w:type="dxa"/>
            <w:vAlign w:val="bottom"/>
          </w:tcPr>
          <w:p>
            <w:pPr>
              <w:ind w:left="160"/>
              <w:spacing w:after="0"/>
              <w:rPr>
                <w:sz w:val="20"/>
                <w:szCs w:val="20"/>
                <w:color w:val="auto"/>
              </w:rPr>
            </w:pPr>
            <w:r>
              <w:rPr>
                <w:rFonts w:ascii="Arial" w:cs="Arial" w:eastAsia="Arial" w:hAnsi="Arial"/>
                <w:sz w:val="14"/>
                <w:szCs w:val="14"/>
                <w:color w:val="auto"/>
              </w:rPr>
              <w:t>bps</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Nov. 2023</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Nov. 2012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88,000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w w:val="92"/>
              </w:rPr>
              <w:t>Variable Funding Note Series 2009-1</w:t>
            </w:r>
          </w:p>
        </w:tc>
        <w:tc>
          <w:tcPr>
            <w:tcW w:w="240" w:type="dxa"/>
            <w:vAlign w:val="bottom"/>
            <w:shd w:val="clear" w:color="auto" w:fill="EAF9E8"/>
          </w:tcPr>
          <w:p>
            <w:pPr>
              <w:spacing w:after="0"/>
              <w:rPr>
                <w:sz w:val="11"/>
                <w:szCs w:val="11"/>
                <w:color w:val="auto"/>
              </w:rPr>
            </w:pPr>
          </w:p>
        </w:tc>
        <w:tc>
          <w:tcPr>
            <w:tcW w:w="148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w w:val="94"/>
              </w:rPr>
              <w:t>Commercial paper rate +</w:t>
            </w:r>
          </w:p>
        </w:tc>
        <w:tc>
          <w:tcPr>
            <w:tcW w:w="22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1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(5)</w:t>
            </w:r>
          </w:p>
        </w:tc>
        <w:tc>
          <w:tcPr>
            <w:tcW w:w="240" w:type="dxa"/>
            <w:vAlign w:val="bottom"/>
            <w:shd w:val="clear" w:color="auto" w:fill="EAF9E8"/>
          </w:tcPr>
          <w:p>
            <w:pPr>
              <w:spacing w:after="0"/>
              <w:rPr>
                <w:sz w:val="14"/>
                <w:szCs w:val="14"/>
                <w:color w:val="auto"/>
              </w:rPr>
            </w:pPr>
          </w:p>
        </w:tc>
        <w:tc>
          <w:tcPr>
            <w:tcW w:w="14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200 bps</w:t>
            </w:r>
          </w:p>
        </w:tc>
        <w:tc>
          <w:tcPr>
            <w:tcW w:w="220" w:type="dxa"/>
            <w:vAlign w:val="bottom"/>
            <w:shd w:val="clear" w:color="auto" w:fill="EAF9E8"/>
          </w:tcPr>
          <w:p>
            <w:pPr>
              <w:spacing w:after="0"/>
              <w:rPr>
                <w:sz w:val="14"/>
                <w:szCs w:val="14"/>
                <w:color w:val="auto"/>
              </w:rPr>
            </w:pPr>
          </w:p>
        </w:tc>
        <w:tc>
          <w:tcPr>
            <w:tcW w:w="11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88"/>
              </w:rPr>
              <w:t>Feb. 2022</w:t>
            </w:r>
          </w:p>
        </w:tc>
        <w:tc>
          <w:tcPr>
            <w:tcW w:w="220" w:type="dxa"/>
            <w:vAlign w:val="bottom"/>
            <w:shd w:val="clear" w:color="auto" w:fill="EAF9E8"/>
          </w:tcPr>
          <w:p>
            <w:pPr>
              <w:spacing w:after="0"/>
              <w:rPr>
                <w:sz w:val="14"/>
                <w:szCs w:val="14"/>
                <w:color w:val="auto"/>
              </w:rPr>
            </w:pPr>
          </w:p>
        </w:tc>
        <w:tc>
          <w:tcPr>
            <w:tcW w:w="11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88"/>
              </w:rPr>
              <w:t>Feb. 2012</w:t>
            </w:r>
          </w:p>
        </w:tc>
        <w:tc>
          <w:tcPr>
            <w:tcW w:w="22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258,827</w:t>
            </w:r>
          </w:p>
        </w:tc>
        <w:tc>
          <w:tcPr>
            <w:tcW w:w="34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41,173</w:t>
            </w:r>
          </w:p>
        </w:tc>
        <w:tc>
          <w:tcPr>
            <w:tcW w:w="160" w:type="dxa"/>
            <w:vAlign w:val="bottom"/>
            <w:shd w:val="clear" w:color="auto" w:fill="EAF9E8"/>
          </w:tcPr>
          <w:p>
            <w:pPr>
              <w:spacing w:after="0"/>
              <w:rPr>
                <w:sz w:val="14"/>
                <w:szCs w:val="14"/>
                <w:color w:val="auto"/>
              </w:rPr>
            </w:pPr>
          </w:p>
        </w:tc>
        <w:tc>
          <w:tcPr>
            <w:tcW w:w="580" w:type="dxa"/>
            <w:vAlign w:val="bottom"/>
            <w:shd w:val="clear" w:color="auto" w:fill="EAF9E8"/>
          </w:tcPr>
          <w:p>
            <w:pPr>
              <w:spacing w:after="0"/>
              <w:rPr>
                <w:sz w:val="14"/>
                <w:szCs w:val="14"/>
                <w:color w:val="auto"/>
              </w:rPr>
            </w:pPr>
          </w:p>
        </w:tc>
        <w:tc>
          <w:tcPr>
            <w:tcW w:w="7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Advance Receivable Backed Note</w:t>
            </w: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60"/>
              <w:spacing w:after="0"/>
              <w:rPr>
                <w:sz w:val="20"/>
                <w:szCs w:val="20"/>
                <w:color w:val="auto"/>
              </w:rPr>
            </w:pPr>
            <w:r>
              <w:rPr>
                <w:rFonts w:ascii="Arial" w:cs="Arial" w:eastAsia="Arial" w:hAnsi="Arial"/>
                <w:sz w:val="14"/>
                <w:szCs w:val="14"/>
                <w:color w:val="auto"/>
              </w:rPr>
              <w:t>Series 2010-1 (3)(6)</w:t>
            </w:r>
          </w:p>
        </w:tc>
        <w:tc>
          <w:tcPr>
            <w:tcW w:w="1720" w:type="dxa"/>
            <w:vAlign w:val="bottom"/>
            <w:gridSpan w:val="2"/>
          </w:tcPr>
          <w:p>
            <w:pPr>
              <w:ind w:left="240"/>
              <w:spacing w:after="0"/>
              <w:rPr>
                <w:sz w:val="20"/>
                <w:szCs w:val="20"/>
                <w:color w:val="auto"/>
              </w:rPr>
            </w:pPr>
            <w:r>
              <w:rPr>
                <w:rFonts w:ascii="Arial" w:cs="Arial" w:eastAsia="Arial" w:hAnsi="Arial"/>
                <w:sz w:val="14"/>
                <w:szCs w:val="14"/>
                <w:color w:val="auto"/>
              </w:rPr>
              <w:t>3.59%</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7"/>
              </w:rPr>
              <w:t>Sep. 2023</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8"/>
              </w:rPr>
              <w:t>Feb. 2011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120,000</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Class A-1 Term Note (7)</w:t>
            </w:r>
          </w:p>
        </w:tc>
        <w:tc>
          <w:tcPr>
            <w:tcW w:w="240" w:type="dxa"/>
            <w:vAlign w:val="bottom"/>
            <w:shd w:val="clear" w:color="auto" w:fill="EAF9E8"/>
          </w:tcPr>
          <w:p>
            <w:pPr>
              <w:spacing w:after="0"/>
              <w:rPr>
                <w:sz w:val="11"/>
                <w:szCs w:val="11"/>
                <w:color w:val="auto"/>
              </w:rPr>
            </w:pPr>
          </w:p>
        </w:tc>
        <w:tc>
          <w:tcPr>
            <w:tcW w:w="148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w w:val="94"/>
              </w:rPr>
              <w:t>Commercial paper rate +</w:t>
            </w:r>
          </w:p>
        </w:tc>
        <w:tc>
          <w:tcPr>
            <w:tcW w:w="22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1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4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350 bps</w:t>
            </w:r>
          </w:p>
        </w:tc>
        <w:tc>
          <w:tcPr>
            <w:tcW w:w="220" w:type="dxa"/>
            <w:vAlign w:val="bottom"/>
            <w:shd w:val="clear" w:color="auto" w:fill="EAF9E8"/>
          </w:tcPr>
          <w:p>
            <w:pPr>
              <w:spacing w:after="0"/>
              <w:rPr>
                <w:sz w:val="14"/>
                <w:szCs w:val="14"/>
                <w:color w:val="auto"/>
              </w:rPr>
            </w:pPr>
          </w:p>
        </w:tc>
        <w:tc>
          <w:tcPr>
            <w:tcW w:w="11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Aug. 2043</w:t>
            </w:r>
          </w:p>
        </w:tc>
        <w:tc>
          <w:tcPr>
            <w:tcW w:w="220" w:type="dxa"/>
            <w:vAlign w:val="bottom"/>
            <w:shd w:val="clear" w:color="auto" w:fill="EAF9E8"/>
          </w:tcPr>
          <w:p>
            <w:pPr>
              <w:spacing w:after="0"/>
              <w:rPr>
                <w:sz w:val="14"/>
                <w:szCs w:val="14"/>
                <w:color w:val="auto"/>
              </w:rPr>
            </w:pPr>
          </w:p>
        </w:tc>
        <w:tc>
          <w:tcPr>
            <w:tcW w:w="11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Aug. 2013</w:t>
            </w:r>
          </w:p>
        </w:tc>
        <w:tc>
          <w:tcPr>
            <w:tcW w:w="22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451,538</w:t>
            </w:r>
          </w:p>
        </w:tc>
        <w:tc>
          <w:tcPr>
            <w:tcW w:w="160" w:type="dxa"/>
            <w:vAlign w:val="bottom"/>
            <w:shd w:val="clear" w:color="auto" w:fill="EAF9E8"/>
          </w:tcPr>
          <w:p>
            <w:pPr>
              <w:spacing w:after="0"/>
              <w:rPr>
                <w:sz w:val="14"/>
                <w:szCs w:val="14"/>
                <w:color w:val="auto"/>
              </w:rPr>
            </w:pPr>
          </w:p>
        </w:tc>
        <w:tc>
          <w:tcPr>
            <w:tcW w:w="580" w:type="dxa"/>
            <w:vAlign w:val="bottom"/>
            <w:shd w:val="clear" w:color="auto" w:fill="EAF9E8"/>
          </w:tcPr>
          <w:p>
            <w:pPr>
              <w:spacing w:after="0"/>
              <w:rPr>
                <w:sz w:val="14"/>
                <w:szCs w:val="14"/>
                <w:color w:val="auto"/>
              </w:rPr>
            </w:pPr>
          </w:p>
        </w:tc>
        <w:tc>
          <w:tcPr>
            <w:tcW w:w="7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721,000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line="130" w:lineRule="exact"/>
              <w:rPr>
                <w:sz w:val="20"/>
                <w:szCs w:val="20"/>
                <w:color w:val="auto"/>
              </w:rPr>
            </w:pPr>
            <w:r>
              <w:rPr>
                <w:rFonts w:ascii="Arial" w:cs="Arial" w:eastAsia="Arial" w:hAnsi="Arial"/>
                <w:sz w:val="14"/>
                <w:szCs w:val="14"/>
                <w:color w:val="auto"/>
                <w:w w:val="94"/>
              </w:rPr>
              <w:t>Commercial paper rate +</w:t>
            </w: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tcPr>
          <w:p>
            <w:pPr>
              <w:spacing w:after="0"/>
              <w:rPr>
                <w:sz w:val="20"/>
                <w:szCs w:val="20"/>
                <w:color w:val="auto"/>
              </w:rPr>
            </w:pPr>
            <w:r>
              <w:rPr>
                <w:rFonts w:ascii="Arial" w:cs="Arial" w:eastAsia="Arial" w:hAnsi="Arial"/>
                <w:sz w:val="14"/>
                <w:szCs w:val="14"/>
                <w:color w:val="auto"/>
                <w:w w:val="96"/>
              </w:rPr>
              <w:t>Class A-2 Variable Funding Note (7)</w:t>
            </w:r>
          </w:p>
        </w:tc>
        <w:tc>
          <w:tcPr>
            <w:tcW w:w="240" w:type="dxa"/>
            <w:vAlign w:val="bottom"/>
          </w:tcPr>
          <w:p>
            <w:pPr>
              <w:spacing w:after="0"/>
              <w:rPr>
                <w:sz w:val="14"/>
                <w:szCs w:val="14"/>
                <w:color w:val="auto"/>
              </w:rPr>
            </w:pPr>
          </w:p>
        </w:tc>
        <w:tc>
          <w:tcPr>
            <w:tcW w:w="1480" w:type="dxa"/>
            <w:vAlign w:val="bottom"/>
          </w:tcPr>
          <w:p>
            <w:pPr>
              <w:ind w:left="160"/>
              <w:spacing w:after="0"/>
              <w:rPr>
                <w:sz w:val="20"/>
                <w:szCs w:val="20"/>
                <w:color w:val="auto"/>
              </w:rPr>
            </w:pPr>
            <w:r>
              <w:rPr>
                <w:rFonts w:ascii="Arial" w:cs="Arial" w:eastAsia="Arial" w:hAnsi="Arial"/>
                <w:sz w:val="14"/>
                <w:szCs w:val="14"/>
                <w:color w:val="auto"/>
              </w:rPr>
              <w:t>350 bps</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Aug. 2043</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Aug. 2013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200,000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Class B Term Note (7)</w:t>
            </w:r>
          </w:p>
        </w:tc>
        <w:tc>
          <w:tcPr>
            <w:tcW w:w="240" w:type="dxa"/>
            <w:vAlign w:val="bottom"/>
            <w:shd w:val="clear" w:color="auto" w:fill="EAF9E8"/>
          </w:tcPr>
          <w:p>
            <w:pPr>
              <w:spacing w:after="0"/>
              <w:rPr>
                <w:sz w:val="11"/>
                <w:szCs w:val="11"/>
                <w:color w:val="auto"/>
              </w:rPr>
            </w:pPr>
          </w:p>
        </w:tc>
        <w:tc>
          <w:tcPr>
            <w:tcW w:w="148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w w:val="94"/>
              </w:rPr>
              <w:t>Commercial paper rate +</w:t>
            </w:r>
          </w:p>
        </w:tc>
        <w:tc>
          <w:tcPr>
            <w:tcW w:w="22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1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4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525 bps</w:t>
            </w:r>
          </w:p>
        </w:tc>
        <w:tc>
          <w:tcPr>
            <w:tcW w:w="220" w:type="dxa"/>
            <w:vAlign w:val="bottom"/>
            <w:shd w:val="clear" w:color="auto" w:fill="EAF9E8"/>
          </w:tcPr>
          <w:p>
            <w:pPr>
              <w:spacing w:after="0"/>
              <w:rPr>
                <w:sz w:val="14"/>
                <w:szCs w:val="14"/>
                <w:color w:val="auto"/>
              </w:rPr>
            </w:pPr>
          </w:p>
        </w:tc>
        <w:tc>
          <w:tcPr>
            <w:tcW w:w="11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Aug. 2043</w:t>
            </w:r>
          </w:p>
        </w:tc>
        <w:tc>
          <w:tcPr>
            <w:tcW w:w="220" w:type="dxa"/>
            <w:vAlign w:val="bottom"/>
            <w:shd w:val="clear" w:color="auto" w:fill="EAF9E8"/>
          </w:tcPr>
          <w:p>
            <w:pPr>
              <w:spacing w:after="0"/>
              <w:rPr>
                <w:sz w:val="14"/>
                <w:szCs w:val="14"/>
                <w:color w:val="auto"/>
              </w:rPr>
            </w:pPr>
          </w:p>
        </w:tc>
        <w:tc>
          <w:tcPr>
            <w:tcW w:w="11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Aug. 2013</w:t>
            </w:r>
          </w:p>
        </w:tc>
        <w:tc>
          <w:tcPr>
            <w:tcW w:w="22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21,023</w:t>
            </w:r>
          </w:p>
        </w:tc>
        <w:tc>
          <w:tcPr>
            <w:tcW w:w="160" w:type="dxa"/>
            <w:vAlign w:val="bottom"/>
            <w:shd w:val="clear" w:color="auto" w:fill="EAF9E8"/>
          </w:tcPr>
          <w:p>
            <w:pPr>
              <w:spacing w:after="0"/>
              <w:rPr>
                <w:sz w:val="14"/>
                <w:szCs w:val="14"/>
                <w:color w:val="auto"/>
              </w:rPr>
            </w:pPr>
          </w:p>
        </w:tc>
        <w:tc>
          <w:tcPr>
            <w:tcW w:w="580" w:type="dxa"/>
            <w:vAlign w:val="bottom"/>
            <w:shd w:val="clear" w:color="auto" w:fill="EAF9E8"/>
          </w:tcPr>
          <w:p>
            <w:pPr>
              <w:spacing w:after="0"/>
              <w:rPr>
                <w:sz w:val="14"/>
                <w:szCs w:val="14"/>
                <w:color w:val="auto"/>
              </w:rPr>
            </w:pPr>
          </w:p>
        </w:tc>
        <w:tc>
          <w:tcPr>
            <w:tcW w:w="7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33,500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Class C Term Note (7)</w:t>
            </w:r>
          </w:p>
        </w:tc>
        <w:tc>
          <w:tcPr>
            <w:tcW w:w="240" w:type="dxa"/>
            <w:vAlign w:val="bottom"/>
          </w:tcPr>
          <w:p>
            <w:pPr>
              <w:spacing w:after="0"/>
              <w:rPr>
                <w:sz w:val="11"/>
                <w:szCs w:val="11"/>
                <w:color w:val="auto"/>
              </w:rPr>
            </w:pPr>
          </w:p>
        </w:tc>
        <w:tc>
          <w:tcPr>
            <w:tcW w:w="1480" w:type="dxa"/>
            <w:vAlign w:val="bottom"/>
          </w:tcPr>
          <w:p>
            <w:pPr>
              <w:spacing w:after="0" w:line="130" w:lineRule="exact"/>
              <w:rPr>
                <w:sz w:val="20"/>
                <w:szCs w:val="20"/>
                <w:color w:val="auto"/>
              </w:rPr>
            </w:pPr>
            <w:r>
              <w:rPr>
                <w:rFonts w:ascii="Arial" w:cs="Arial" w:eastAsia="Arial" w:hAnsi="Arial"/>
                <w:sz w:val="14"/>
                <w:szCs w:val="14"/>
                <w:color w:val="auto"/>
                <w:w w:val="94"/>
              </w:rPr>
              <w:t>Commercial paper rate +</w:t>
            </w: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ind w:left="160"/>
              <w:spacing w:after="0"/>
              <w:rPr>
                <w:sz w:val="20"/>
                <w:szCs w:val="20"/>
                <w:color w:val="auto"/>
              </w:rPr>
            </w:pPr>
            <w:r>
              <w:rPr>
                <w:rFonts w:ascii="Arial" w:cs="Arial" w:eastAsia="Arial" w:hAnsi="Arial"/>
                <w:sz w:val="14"/>
                <w:szCs w:val="14"/>
                <w:color w:val="auto"/>
              </w:rPr>
              <w:t>625 bps</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Aug. 2043</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Aug. 2013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19,991</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31,900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Class D Term Note (7)</w:t>
            </w:r>
          </w:p>
        </w:tc>
        <w:tc>
          <w:tcPr>
            <w:tcW w:w="240" w:type="dxa"/>
            <w:vAlign w:val="bottom"/>
            <w:shd w:val="clear" w:color="auto" w:fill="EAF9E8"/>
          </w:tcPr>
          <w:p>
            <w:pPr>
              <w:spacing w:after="0"/>
              <w:rPr>
                <w:sz w:val="11"/>
                <w:szCs w:val="11"/>
                <w:color w:val="auto"/>
              </w:rPr>
            </w:pPr>
          </w:p>
        </w:tc>
        <w:tc>
          <w:tcPr>
            <w:tcW w:w="148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1-Month LIBOR + 750</w:t>
            </w:r>
          </w:p>
        </w:tc>
        <w:tc>
          <w:tcPr>
            <w:tcW w:w="22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1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1480" w:type="dxa"/>
            <w:vAlign w:val="bottom"/>
            <w:shd w:val="clear" w:color="auto" w:fill="EAF9E8"/>
          </w:tcPr>
          <w:p>
            <w:pPr>
              <w:ind w:left="160"/>
              <w:spacing w:after="0"/>
              <w:rPr>
                <w:sz w:val="20"/>
                <w:szCs w:val="20"/>
                <w:color w:val="auto"/>
              </w:rPr>
            </w:pPr>
            <w:r>
              <w:rPr>
                <w:rFonts w:ascii="Arial" w:cs="Arial" w:eastAsia="Arial" w:hAnsi="Arial"/>
                <w:sz w:val="14"/>
                <w:szCs w:val="14"/>
                <w:color w:val="auto"/>
              </w:rPr>
              <w:t>bps</w:t>
            </w:r>
          </w:p>
        </w:tc>
        <w:tc>
          <w:tcPr>
            <w:tcW w:w="220" w:type="dxa"/>
            <w:vAlign w:val="bottom"/>
            <w:shd w:val="clear" w:color="auto" w:fill="EAF9E8"/>
          </w:tcPr>
          <w:p>
            <w:pPr>
              <w:spacing w:after="0"/>
              <w:rPr>
                <w:sz w:val="14"/>
                <w:szCs w:val="14"/>
                <w:color w:val="auto"/>
              </w:rPr>
            </w:pPr>
          </w:p>
        </w:tc>
        <w:tc>
          <w:tcPr>
            <w:tcW w:w="11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Aug. 2043</w:t>
            </w:r>
          </w:p>
        </w:tc>
        <w:tc>
          <w:tcPr>
            <w:tcW w:w="220" w:type="dxa"/>
            <w:vAlign w:val="bottom"/>
            <w:shd w:val="clear" w:color="auto" w:fill="EAF9E8"/>
          </w:tcPr>
          <w:p>
            <w:pPr>
              <w:spacing w:after="0"/>
              <w:rPr>
                <w:sz w:val="14"/>
                <w:szCs w:val="14"/>
                <w:color w:val="auto"/>
              </w:rPr>
            </w:pPr>
          </w:p>
        </w:tc>
        <w:tc>
          <w:tcPr>
            <w:tcW w:w="11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Aug. 2013</w:t>
            </w:r>
          </w:p>
        </w:tc>
        <w:tc>
          <w:tcPr>
            <w:tcW w:w="22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15,434</w:t>
            </w:r>
          </w:p>
        </w:tc>
        <w:tc>
          <w:tcPr>
            <w:tcW w:w="160" w:type="dxa"/>
            <w:vAlign w:val="bottom"/>
            <w:shd w:val="clear" w:color="auto" w:fill="EAF9E8"/>
          </w:tcPr>
          <w:p>
            <w:pPr>
              <w:spacing w:after="0"/>
              <w:rPr>
                <w:sz w:val="14"/>
                <w:szCs w:val="14"/>
                <w:color w:val="auto"/>
              </w:rPr>
            </w:pPr>
          </w:p>
        </w:tc>
        <w:tc>
          <w:tcPr>
            <w:tcW w:w="580" w:type="dxa"/>
            <w:vAlign w:val="bottom"/>
            <w:shd w:val="clear" w:color="auto" w:fill="EAF9E8"/>
          </w:tcPr>
          <w:p>
            <w:pPr>
              <w:spacing w:after="0"/>
              <w:rPr>
                <w:sz w:val="14"/>
                <w:szCs w:val="14"/>
                <w:color w:val="auto"/>
              </w:rPr>
            </w:pPr>
          </w:p>
        </w:tc>
        <w:tc>
          <w:tcPr>
            <w:tcW w:w="7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24,600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w w:val="97"/>
              </w:rPr>
              <w:t>Advance Receivable Backed Notes</w:t>
            </w:r>
          </w:p>
        </w:tc>
        <w:tc>
          <w:tcPr>
            <w:tcW w:w="240" w:type="dxa"/>
            <w:vAlign w:val="bottom"/>
          </w:tcPr>
          <w:p>
            <w:pPr>
              <w:spacing w:after="0"/>
              <w:rPr>
                <w:sz w:val="11"/>
                <w:szCs w:val="11"/>
                <w:color w:val="auto"/>
              </w:rPr>
            </w:pPr>
          </w:p>
        </w:tc>
        <w:tc>
          <w:tcPr>
            <w:tcW w:w="1480" w:type="dxa"/>
            <w:vAlign w:val="bottom"/>
          </w:tcPr>
          <w:p>
            <w:pPr>
              <w:spacing w:after="0" w:line="130" w:lineRule="exact"/>
              <w:rPr>
                <w:sz w:val="20"/>
                <w:szCs w:val="20"/>
                <w:color w:val="auto"/>
              </w:rPr>
            </w:pPr>
            <w:r>
              <w:rPr>
                <w:rFonts w:ascii="Arial" w:cs="Arial" w:eastAsia="Arial" w:hAnsi="Arial"/>
                <w:sz w:val="14"/>
                <w:szCs w:val="14"/>
                <w:color w:val="auto"/>
              </w:rPr>
              <w:t>1-Month LIBOR + 400</w:t>
            </w: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tcPr>
          <w:p>
            <w:pPr>
              <w:ind w:left="180"/>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4"/>
                <w:szCs w:val="14"/>
                <w:color w:val="auto"/>
              </w:rPr>
            </w:pPr>
          </w:p>
        </w:tc>
        <w:tc>
          <w:tcPr>
            <w:tcW w:w="1480" w:type="dxa"/>
            <w:vAlign w:val="bottom"/>
          </w:tcPr>
          <w:p>
            <w:pPr>
              <w:ind w:left="160"/>
              <w:spacing w:after="0"/>
              <w:rPr>
                <w:sz w:val="20"/>
                <w:szCs w:val="20"/>
                <w:color w:val="auto"/>
              </w:rPr>
            </w:pPr>
            <w:r>
              <w:rPr>
                <w:rFonts w:ascii="Arial" w:cs="Arial" w:eastAsia="Arial" w:hAnsi="Arial"/>
                <w:sz w:val="14"/>
                <w:szCs w:val="14"/>
                <w:color w:val="auto"/>
              </w:rPr>
              <w:t>bps</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Mar. 2020</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May 2011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10,315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w w:val="97"/>
              </w:rPr>
              <w:t>Advance Receivable Backed Notes</w:t>
            </w:r>
          </w:p>
        </w:tc>
        <w:tc>
          <w:tcPr>
            <w:tcW w:w="240" w:type="dxa"/>
            <w:vAlign w:val="bottom"/>
            <w:shd w:val="clear" w:color="auto" w:fill="EAF9E8"/>
          </w:tcPr>
          <w:p>
            <w:pPr>
              <w:spacing w:after="0"/>
              <w:rPr>
                <w:sz w:val="11"/>
                <w:szCs w:val="11"/>
                <w:color w:val="auto"/>
              </w:rPr>
            </w:pPr>
          </w:p>
        </w:tc>
        <w:tc>
          <w:tcPr>
            <w:tcW w:w="148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1-Month LIBOR + 200</w:t>
            </w:r>
          </w:p>
        </w:tc>
        <w:tc>
          <w:tcPr>
            <w:tcW w:w="22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1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1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580" w:type="dxa"/>
            <w:vAlign w:val="bottom"/>
            <w:shd w:val="clear" w:color="auto" w:fill="EAF9E8"/>
          </w:tcPr>
          <w:p>
            <w:pPr>
              <w:spacing w:after="0"/>
              <w:rPr>
                <w:sz w:val="11"/>
                <w:szCs w:val="11"/>
                <w:color w:val="auto"/>
              </w:rPr>
            </w:pPr>
          </w:p>
        </w:tc>
        <w:tc>
          <w:tcPr>
            <w:tcW w:w="6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EAF9E8"/>
          </w:tcPr>
          <w:p>
            <w:pPr>
              <w:ind w:left="160"/>
              <w:spacing w:after="0"/>
              <w:rPr>
                <w:sz w:val="20"/>
                <w:szCs w:val="20"/>
                <w:color w:val="auto"/>
              </w:rPr>
            </w:pPr>
            <w:r>
              <w:rPr>
                <w:rFonts w:ascii="Arial" w:cs="Arial" w:eastAsia="Arial" w:hAnsi="Arial"/>
                <w:sz w:val="14"/>
                <w:szCs w:val="14"/>
                <w:color w:val="auto"/>
              </w:rPr>
              <w:t>(9)</w:t>
            </w:r>
          </w:p>
        </w:tc>
        <w:tc>
          <w:tcPr>
            <w:tcW w:w="240" w:type="dxa"/>
            <w:vAlign w:val="bottom"/>
            <w:shd w:val="clear" w:color="auto" w:fill="EAF9E8"/>
          </w:tcPr>
          <w:p>
            <w:pPr>
              <w:spacing w:after="0"/>
              <w:rPr>
                <w:sz w:val="14"/>
                <w:szCs w:val="14"/>
                <w:color w:val="auto"/>
              </w:rPr>
            </w:pPr>
          </w:p>
        </w:tc>
        <w:tc>
          <w:tcPr>
            <w:tcW w:w="1480" w:type="dxa"/>
            <w:vAlign w:val="bottom"/>
            <w:shd w:val="clear" w:color="auto" w:fill="EAF9E8"/>
          </w:tcPr>
          <w:p>
            <w:pPr>
              <w:spacing w:after="0"/>
              <w:rPr>
                <w:sz w:val="20"/>
                <w:szCs w:val="20"/>
                <w:color w:val="auto"/>
              </w:rPr>
            </w:pPr>
            <w:r>
              <w:rPr>
                <w:rFonts w:ascii="Arial" w:cs="Arial" w:eastAsia="Arial" w:hAnsi="Arial"/>
                <w:sz w:val="14"/>
                <w:szCs w:val="14"/>
                <w:color w:val="auto"/>
              </w:rPr>
              <w:t>bps</w:t>
            </w:r>
          </w:p>
        </w:tc>
        <w:tc>
          <w:tcPr>
            <w:tcW w:w="220" w:type="dxa"/>
            <w:vAlign w:val="bottom"/>
            <w:shd w:val="clear" w:color="auto" w:fill="EAF9E8"/>
          </w:tcPr>
          <w:p>
            <w:pPr>
              <w:spacing w:after="0"/>
              <w:rPr>
                <w:sz w:val="14"/>
                <w:szCs w:val="14"/>
                <w:color w:val="auto"/>
              </w:rPr>
            </w:pPr>
          </w:p>
        </w:tc>
        <w:tc>
          <w:tcPr>
            <w:tcW w:w="11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0"/>
              </w:rPr>
              <w:t>Jan. 2014</w:t>
            </w:r>
          </w:p>
        </w:tc>
        <w:tc>
          <w:tcPr>
            <w:tcW w:w="220" w:type="dxa"/>
            <w:vAlign w:val="bottom"/>
            <w:shd w:val="clear" w:color="auto" w:fill="EAF9E8"/>
          </w:tcPr>
          <w:p>
            <w:pPr>
              <w:spacing w:after="0"/>
              <w:rPr>
                <w:sz w:val="14"/>
                <w:szCs w:val="14"/>
                <w:color w:val="auto"/>
              </w:rPr>
            </w:pPr>
          </w:p>
        </w:tc>
        <w:tc>
          <w:tcPr>
            <w:tcW w:w="116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Jul. 2013</w:t>
            </w:r>
          </w:p>
        </w:tc>
        <w:tc>
          <w:tcPr>
            <w:tcW w:w="22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102,161</w:t>
            </w:r>
          </w:p>
        </w:tc>
        <w:tc>
          <w:tcPr>
            <w:tcW w:w="34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4"/>
                <w:szCs w:val="14"/>
                <w:color w:val="auto"/>
              </w:rPr>
              <w:t>162,839</w:t>
            </w:r>
          </w:p>
        </w:tc>
        <w:tc>
          <w:tcPr>
            <w:tcW w:w="160" w:type="dxa"/>
            <w:vAlign w:val="bottom"/>
            <w:shd w:val="clear" w:color="auto" w:fill="EAF9E8"/>
          </w:tcPr>
          <w:p>
            <w:pPr>
              <w:spacing w:after="0"/>
              <w:rPr>
                <w:sz w:val="14"/>
                <w:szCs w:val="14"/>
                <w:color w:val="auto"/>
              </w:rPr>
            </w:pPr>
          </w:p>
        </w:tc>
        <w:tc>
          <w:tcPr>
            <w:tcW w:w="580" w:type="dxa"/>
            <w:vAlign w:val="bottom"/>
            <w:shd w:val="clear" w:color="auto" w:fill="EAF9E8"/>
          </w:tcPr>
          <w:p>
            <w:pPr>
              <w:spacing w:after="0"/>
              <w:rPr>
                <w:sz w:val="14"/>
                <w:szCs w:val="14"/>
                <w:color w:val="auto"/>
              </w:rPr>
            </w:pPr>
          </w:p>
        </w:tc>
        <w:tc>
          <w:tcPr>
            <w:tcW w:w="7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250,119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48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648,988</w:t>
            </w:r>
          </w:p>
        </w:tc>
        <w:tc>
          <w:tcPr>
            <w:tcW w:w="34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1,041,998</w:t>
            </w:r>
          </w:p>
        </w:tc>
        <w:tc>
          <w:tcPr>
            <w:tcW w:w="74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1,482,529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20" w:hanging="572"/>
        <w:spacing w:after="0" w:line="25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but two advance facilities, there is a single note outstanding. For each of these facilities, after the amortization date, all collections that represent the repayment of advances pledged to the facility must be applied to reduce the balance of the note outstanding, and any new advances are ineligible to be financed.</w:t>
      </w:r>
    </w:p>
    <w:p>
      <w:pPr>
        <w:spacing w:after="0" w:line="188" w:lineRule="exact"/>
        <w:rPr>
          <w:rFonts w:ascii="Arial" w:cs="Arial" w:eastAsia="Arial" w:hAnsi="Arial"/>
          <w:sz w:val="18"/>
          <w:szCs w:val="18"/>
          <w:color w:val="auto"/>
        </w:rPr>
      </w:pPr>
    </w:p>
    <w:p>
      <w:pPr>
        <w:ind w:left="580" w:right="60" w:hanging="572"/>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unused borrowing capacity is available to us provided that we have additional eligible collateral to pledge. Collateral may only be pledged to one facility.</w:t>
      </w:r>
    </w:p>
    <w:p>
      <w:pPr>
        <w:spacing w:after="0" w:line="170" w:lineRule="exact"/>
        <w:rPr>
          <w:rFonts w:ascii="Arial" w:cs="Arial" w:eastAsia="Arial" w:hAnsi="Arial"/>
          <w:sz w:val="18"/>
          <w:szCs w:val="18"/>
          <w:color w:val="auto"/>
        </w:rPr>
      </w:pPr>
    </w:p>
    <w:p>
      <w:pPr>
        <w:ind w:left="580" w:right="200" w:hanging="572"/>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notes were issued under the Term Asset-Backed Securities Loan Facility (TALF) program administered by the Federal Reserve Bank of New York.</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Under the terms of the note purchase agreement, the maximum funding obligation will increase from $88,000 to $100,000 in November 2011.</w:t>
      </w:r>
    </w:p>
    <w:p>
      <w:pPr>
        <w:spacing w:after="0" w:line="236" w:lineRule="exact"/>
        <w:rPr>
          <w:rFonts w:ascii="Arial" w:cs="Arial" w:eastAsia="Arial" w:hAnsi="Arial"/>
          <w:sz w:val="17"/>
          <w:szCs w:val="17"/>
          <w:color w:val="auto"/>
        </w:rPr>
      </w:pPr>
    </w:p>
    <w:p>
      <w:pPr>
        <w:ind w:left="580" w:right="140" w:hanging="572"/>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200 bps. In February 2011, the amortization date was extended to February 2012.</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note entered into its amortization period in February 2011. The 2010-1 Indenture Supplement provides for scheduled amortization of $40,000 per quarter through January 2012.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ind w:left="580" w:right="24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notes were issued in connection with the financing of advances acquired as part of our acquisition (the HomEq Acquisition) of the U.S. non-prime mortgage servicing business of Barclays Bank PLC on September 1, 2010.</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June 30, 2011, we terminated this facility and repaid the outstanding balance.</w:t>
      </w:r>
    </w:p>
    <w:p>
      <w:pPr>
        <w:spacing w:after="0" w:line="225" w:lineRule="exact"/>
        <w:rPr>
          <w:rFonts w:ascii="Arial" w:cs="Arial" w:eastAsia="Arial" w:hAnsi="Arial"/>
          <w:sz w:val="18"/>
          <w:szCs w:val="18"/>
          <w:color w:val="auto"/>
        </w:rPr>
      </w:pPr>
    </w:p>
    <w:p>
      <w:pPr>
        <w:ind w:left="580" w:right="440" w:hanging="572"/>
        <w:spacing w:after="0" w:line="264"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renewed this facility on June 30, 2011 at which time the maximum borrowing capacity was reduced to $265,000 from $500,000 and the amortization date was extended by two years to July 2013. In addition, the facility fee, which is payable in monthly installments, was reduced to 1.00% annually of the maximum borrowing capacity from 1.30%.</w:t>
      </w:r>
    </w:p>
    <w:p>
      <w:pPr>
        <w:spacing w:after="0" w:line="20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SECURED BORROWINGS – OWED TO SECURITIZATION INVESTORS</w:t>
      </w:r>
    </w:p>
    <w:p>
      <w:pPr>
        <w:spacing w:after="0" w:line="229"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Secured borrowings – owed to securitization investors of $58,696 and $62,705 at June 30, 2011 and December 31, 2010, respectively, consist of certificates that represent beneficial ownership interests in four securitization trusts that we include in our consolidated financial statements, as more fully described in Note 1—Securitizations of Residential Mortgage Loans. The holders of these certificates have no recourse against the assets of Ocwen.</w:t>
      </w:r>
    </w:p>
    <w:p>
      <w:pPr>
        <w:spacing w:after="0" w:line="147"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The trusts consist principally of mortgage loans that are secured by first and second liens on one- to four-family residential properties. Except for the residuals, the certificates generally pay interest based on 1-Month LIBOR plus a margin of from 8 to 250 basis points. Interest rates on the certificates are generally capped at the weighted average of the net mortgage rates of the mortgage loans in the respective loan pools.</w:t>
      </w:r>
    </w:p>
    <w:p>
      <w:pPr>
        <w:spacing w:after="0" w:line="18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LINES OF CREDIT AND OTHER SECURED BORROWINGS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Secured lines of credit from various unaffiliated financial institutions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26"/>
              <w:spacing w:after="0"/>
              <w:rPr>
                <w:sz w:val="20"/>
                <w:szCs w:val="20"/>
                <w:color w:val="auto"/>
              </w:rPr>
            </w:pPr>
            <w:r>
              <w:rPr>
                <w:rFonts w:ascii="Arial" w:cs="Arial" w:eastAsia="Arial" w:hAnsi="Arial"/>
                <w:sz w:val="14"/>
                <w:szCs w:val="14"/>
                <w:b w:val="1"/>
                <w:bCs w:val="1"/>
                <w:color w:val="auto"/>
                <w:w w:val="89"/>
              </w:rPr>
              <w:t>Unused</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Balance Outstanding</w:t>
            </w:r>
          </w:p>
        </w:tc>
        <w:tc>
          <w:tcPr>
            <w:tcW w:w="0" w:type="dxa"/>
            <w:vAlign w:val="bottom"/>
          </w:tcPr>
          <w:p>
            <w:pPr>
              <w:spacing w:after="0"/>
              <w:rPr>
                <w:sz w:val="1"/>
                <w:szCs w:val="1"/>
                <w:color w:val="auto"/>
              </w:rPr>
            </w:pPr>
          </w:p>
        </w:tc>
      </w:tr>
      <w:tr>
        <w:trPr>
          <w:trHeight w:val="126"/>
        </w:trPr>
        <w:tc>
          <w:tcPr>
            <w:tcW w:w="162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Borrowings</w:t>
            </w:r>
          </w:p>
        </w:tc>
        <w:tc>
          <w:tcPr>
            <w:tcW w:w="15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Collateral</w:t>
            </w:r>
          </w:p>
        </w:tc>
        <w:tc>
          <w:tcPr>
            <w:tcW w:w="340" w:type="dxa"/>
            <w:vAlign w:val="bottom"/>
          </w:tcPr>
          <w:p>
            <w:pPr>
              <w:spacing w:after="0"/>
              <w:rPr>
                <w:sz w:val="10"/>
                <w:szCs w:val="10"/>
                <w:color w:val="auto"/>
              </w:rPr>
            </w:pPr>
          </w:p>
        </w:tc>
        <w:tc>
          <w:tcPr>
            <w:tcW w:w="15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Interest Rate</w:t>
            </w:r>
          </w:p>
        </w:tc>
        <w:tc>
          <w:tcPr>
            <w:tcW w:w="360" w:type="dxa"/>
            <w:vAlign w:val="bottom"/>
          </w:tcPr>
          <w:p>
            <w:pPr>
              <w:spacing w:after="0"/>
              <w:rPr>
                <w:sz w:val="10"/>
                <w:szCs w:val="10"/>
                <w:color w:val="auto"/>
              </w:rPr>
            </w:pPr>
          </w:p>
        </w:tc>
        <w:tc>
          <w:tcPr>
            <w:tcW w:w="12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Maturity</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26"/>
              <w:spacing w:after="0" w:line="126" w:lineRule="exact"/>
              <w:rPr>
                <w:sz w:val="20"/>
                <w:szCs w:val="20"/>
                <w:color w:val="auto"/>
              </w:rPr>
            </w:pPr>
            <w:r>
              <w:rPr>
                <w:rFonts w:ascii="Arial" w:cs="Arial" w:eastAsia="Arial" w:hAnsi="Arial"/>
                <w:sz w:val="14"/>
                <w:szCs w:val="14"/>
                <w:b w:val="1"/>
                <w:bCs w:val="1"/>
                <w:color w:val="auto"/>
                <w:w w:val="94"/>
              </w:rPr>
              <w:t>Borrowing</w:t>
            </w:r>
          </w:p>
        </w:tc>
        <w:tc>
          <w:tcPr>
            <w:tcW w:w="3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420"/>
              <w:spacing w:after="0" w:line="126"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28"/>
              <w:spacing w:after="0" w:line="126"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620" w:type="dxa"/>
            <w:vAlign w:val="bottom"/>
            <w:gridSpan w:val="4"/>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06"/>
              <w:spacing w:after="0"/>
              <w:rPr>
                <w:sz w:val="20"/>
                <w:szCs w:val="20"/>
                <w:color w:val="auto"/>
              </w:rPr>
            </w:pPr>
            <w:r>
              <w:rPr>
                <w:rFonts w:ascii="Arial" w:cs="Arial" w:eastAsia="Arial" w:hAnsi="Arial"/>
                <w:sz w:val="14"/>
                <w:szCs w:val="14"/>
                <w:b w:val="1"/>
                <w:bCs w:val="1"/>
                <w:color w:val="auto"/>
                <w:w w:val="95"/>
              </w:rPr>
              <w:t>Capacity</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406"/>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0" w:type="dxa"/>
            <w:vAlign w:val="bottom"/>
            <w:tcBorders>
              <w:bottom w:val="single" w:sz="8" w:color="auto"/>
            </w:tcBorders>
            <w:shd w:val="clear" w:color="auto" w:fill="EAF9E8"/>
          </w:tcPr>
          <w:p>
            <w:pPr>
              <w:spacing w:after="0"/>
              <w:rPr>
                <w:sz w:val="20"/>
                <w:szCs w:val="20"/>
                <w:color w:val="auto"/>
              </w:rPr>
            </w:pPr>
            <w:r>
              <w:rPr>
                <w:rFonts w:ascii="Arial" w:cs="Arial" w:eastAsia="Arial" w:hAnsi="Arial"/>
                <w:sz w:val="14"/>
                <w:szCs w:val="14"/>
                <w:color w:val="auto"/>
                <w:w w:val="94"/>
              </w:rPr>
              <w:t>Servicing:</w:t>
            </w:r>
          </w:p>
        </w:tc>
        <w:tc>
          <w:tcPr>
            <w:tcW w:w="1020" w:type="dxa"/>
            <w:vAlign w:val="bottom"/>
            <w:tcBorders>
              <w:bottom w:val="single" w:sz="8" w:color="EAF9E8"/>
            </w:tcBorders>
            <w:gridSpan w:val="3"/>
            <w:shd w:val="clear" w:color="auto" w:fill="EAF9E8"/>
          </w:tcPr>
          <w:p>
            <w:pPr>
              <w:spacing w:after="0"/>
              <w:rPr>
                <w:sz w:val="14"/>
                <w:szCs w:val="14"/>
                <w:color w:val="auto"/>
              </w:rPr>
            </w:pPr>
          </w:p>
        </w:tc>
        <w:tc>
          <w:tcPr>
            <w:tcW w:w="1500" w:type="dxa"/>
            <w:vAlign w:val="bottom"/>
            <w:tcBorders>
              <w:bottom w:val="single" w:sz="8" w:color="EAF9E8"/>
            </w:tcBorders>
            <w:shd w:val="clear" w:color="auto" w:fill="EAF9E8"/>
          </w:tcPr>
          <w:p>
            <w:pPr>
              <w:spacing w:after="0"/>
              <w:rPr>
                <w:sz w:val="14"/>
                <w:szCs w:val="14"/>
                <w:color w:val="auto"/>
              </w:rPr>
            </w:pPr>
          </w:p>
        </w:tc>
        <w:tc>
          <w:tcPr>
            <w:tcW w:w="340" w:type="dxa"/>
            <w:vAlign w:val="bottom"/>
            <w:tcBorders>
              <w:bottom w:val="single" w:sz="8" w:color="EAF9E8"/>
            </w:tcBorders>
            <w:shd w:val="clear" w:color="auto" w:fill="EAF9E8"/>
          </w:tcPr>
          <w:p>
            <w:pPr>
              <w:spacing w:after="0"/>
              <w:rPr>
                <w:sz w:val="14"/>
                <w:szCs w:val="14"/>
                <w:color w:val="auto"/>
              </w:rPr>
            </w:pPr>
          </w:p>
        </w:tc>
        <w:tc>
          <w:tcPr>
            <w:tcW w:w="1500" w:type="dxa"/>
            <w:vAlign w:val="bottom"/>
            <w:tcBorders>
              <w:bottom w:val="single" w:sz="8" w:color="EAF9E8"/>
            </w:tcBorders>
            <w:shd w:val="clear" w:color="auto" w:fill="EAF9E8"/>
          </w:tcPr>
          <w:p>
            <w:pPr>
              <w:spacing w:after="0"/>
              <w:rPr>
                <w:sz w:val="14"/>
                <w:szCs w:val="14"/>
                <w:color w:val="auto"/>
              </w:rPr>
            </w:pPr>
          </w:p>
        </w:tc>
        <w:tc>
          <w:tcPr>
            <w:tcW w:w="360" w:type="dxa"/>
            <w:vAlign w:val="bottom"/>
            <w:tcBorders>
              <w:bottom w:val="single" w:sz="8" w:color="EAF9E8"/>
            </w:tcBorders>
            <w:shd w:val="clear" w:color="auto" w:fill="EAF9E8"/>
          </w:tcPr>
          <w:p>
            <w:pPr>
              <w:spacing w:after="0"/>
              <w:rPr>
                <w:sz w:val="14"/>
                <w:szCs w:val="14"/>
                <w:color w:val="auto"/>
              </w:rPr>
            </w:pPr>
          </w:p>
        </w:tc>
        <w:tc>
          <w:tcPr>
            <w:tcW w:w="1260" w:type="dxa"/>
            <w:vAlign w:val="bottom"/>
            <w:tcBorders>
              <w:bottom w:val="single" w:sz="8" w:color="EAF9E8"/>
            </w:tcBorders>
            <w:shd w:val="clear" w:color="auto" w:fill="EAF9E8"/>
          </w:tcPr>
          <w:p>
            <w:pPr>
              <w:spacing w:after="0"/>
              <w:rPr>
                <w:sz w:val="14"/>
                <w:szCs w:val="14"/>
                <w:color w:val="auto"/>
              </w:rPr>
            </w:pPr>
          </w:p>
        </w:tc>
        <w:tc>
          <w:tcPr>
            <w:tcW w:w="360" w:type="dxa"/>
            <w:vAlign w:val="bottom"/>
            <w:tcBorders>
              <w:bottom w:val="single" w:sz="8" w:color="EAF9E8"/>
            </w:tcBorders>
            <w:shd w:val="clear" w:color="auto" w:fill="EAF9E8"/>
          </w:tcPr>
          <w:p>
            <w:pPr>
              <w:spacing w:after="0"/>
              <w:rPr>
                <w:sz w:val="14"/>
                <w:szCs w:val="14"/>
                <w:color w:val="auto"/>
              </w:rPr>
            </w:pPr>
          </w:p>
        </w:tc>
        <w:tc>
          <w:tcPr>
            <w:tcW w:w="180" w:type="dxa"/>
            <w:vAlign w:val="bottom"/>
            <w:tcBorders>
              <w:bottom w:val="single" w:sz="8" w:color="EAF9E8"/>
            </w:tcBorders>
            <w:shd w:val="clear" w:color="auto" w:fill="EAF9E8"/>
          </w:tcPr>
          <w:p>
            <w:pPr>
              <w:spacing w:after="0"/>
              <w:rPr>
                <w:sz w:val="14"/>
                <w:szCs w:val="14"/>
                <w:color w:val="auto"/>
              </w:rPr>
            </w:pPr>
          </w:p>
        </w:tc>
        <w:tc>
          <w:tcPr>
            <w:tcW w:w="1060" w:type="dxa"/>
            <w:vAlign w:val="bottom"/>
            <w:tcBorders>
              <w:bottom w:val="single" w:sz="8" w:color="EAF9E8"/>
            </w:tcBorders>
            <w:shd w:val="clear" w:color="auto" w:fill="EAF9E8"/>
          </w:tcPr>
          <w:p>
            <w:pPr>
              <w:spacing w:after="0"/>
              <w:rPr>
                <w:sz w:val="14"/>
                <w:szCs w:val="14"/>
                <w:color w:val="auto"/>
              </w:rPr>
            </w:pPr>
          </w:p>
        </w:tc>
        <w:tc>
          <w:tcPr>
            <w:tcW w:w="320" w:type="dxa"/>
            <w:vAlign w:val="bottom"/>
            <w:tcBorders>
              <w:bottom w:val="single" w:sz="8" w:color="EAF9E8"/>
            </w:tcBorders>
            <w:shd w:val="clear" w:color="auto" w:fill="EAF9E8"/>
          </w:tcPr>
          <w:p>
            <w:pPr>
              <w:spacing w:after="0"/>
              <w:rPr>
                <w:sz w:val="14"/>
                <w:szCs w:val="14"/>
                <w:color w:val="auto"/>
              </w:rPr>
            </w:pPr>
          </w:p>
        </w:tc>
        <w:tc>
          <w:tcPr>
            <w:tcW w:w="220" w:type="dxa"/>
            <w:vAlign w:val="bottom"/>
            <w:tcBorders>
              <w:bottom w:val="single" w:sz="8" w:color="EAF9E8"/>
            </w:tcBorders>
            <w:shd w:val="clear" w:color="auto" w:fill="EAF9E8"/>
          </w:tcPr>
          <w:p>
            <w:pPr>
              <w:spacing w:after="0"/>
              <w:rPr>
                <w:sz w:val="14"/>
                <w:szCs w:val="14"/>
                <w:color w:val="auto"/>
              </w:rPr>
            </w:pPr>
          </w:p>
        </w:tc>
        <w:tc>
          <w:tcPr>
            <w:tcW w:w="1020" w:type="dxa"/>
            <w:vAlign w:val="bottom"/>
            <w:tcBorders>
              <w:bottom w:val="single" w:sz="8" w:color="EAF9E8"/>
            </w:tcBorders>
            <w:shd w:val="clear" w:color="auto" w:fill="EAF9E8"/>
          </w:tcPr>
          <w:p>
            <w:pPr>
              <w:spacing w:after="0"/>
              <w:rPr>
                <w:sz w:val="14"/>
                <w:szCs w:val="14"/>
                <w:color w:val="auto"/>
              </w:rPr>
            </w:pPr>
          </w:p>
        </w:tc>
        <w:tc>
          <w:tcPr>
            <w:tcW w:w="200" w:type="dxa"/>
            <w:vAlign w:val="bottom"/>
            <w:tcBorders>
              <w:bottom w:val="single" w:sz="8" w:color="EAF9E8"/>
            </w:tcBorders>
            <w:shd w:val="clear" w:color="auto" w:fill="EAF9E8"/>
          </w:tcPr>
          <w:p>
            <w:pPr>
              <w:spacing w:after="0"/>
              <w:rPr>
                <w:sz w:val="14"/>
                <w:szCs w:val="14"/>
                <w:color w:val="auto"/>
              </w:rPr>
            </w:pPr>
          </w:p>
        </w:tc>
        <w:tc>
          <w:tcPr>
            <w:tcW w:w="120" w:type="dxa"/>
            <w:vAlign w:val="bottom"/>
            <w:tcBorders>
              <w:bottom w:val="single" w:sz="8" w:color="EAF9E8"/>
            </w:tcBorders>
            <w:shd w:val="clear" w:color="auto" w:fill="EAF9E8"/>
          </w:tcPr>
          <w:p>
            <w:pPr>
              <w:spacing w:after="0"/>
              <w:rPr>
                <w:sz w:val="14"/>
                <w:szCs w:val="14"/>
                <w:color w:val="auto"/>
              </w:rPr>
            </w:pPr>
          </w:p>
        </w:tc>
        <w:tc>
          <w:tcPr>
            <w:tcW w:w="140" w:type="dxa"/>
            <w:vAlign w:val="bottom"/>
            <w:tcBorders>
              <w:bottom w:val="single" w:sz="8" w:color="EAF9E8"/>
            </w:tcBorders>
            <w:shd w:val="clear" w:color="auto" w:fill="EAF9E8"/>
          </w:tcPr>
          <w:p>
            <w:pPr>
              <w:spacing w:after="0"/>
              <w:rPr>
                <w:sz w:val="14"/>
                <w:szCs w:val="14"/>
                <w:color w:val="auto"/>
              </w:rPr>
            </w:pPr>
          </w:p>
        </w:tc>
        <w:tc>
          <w:tcPr>
            <w:tcW w:w="1120" w:type="dxa"/>
            <w:vAlign w:val="bottom"/>
            <w:tcBorders>
              <w:bottom w:val="single" w:sz="8" w:color="EAF9E8"/>
            </w:tcBorders>
            <w:shd w:val="clear" w:color="auto" w:fill="EAF9E8"/>
          </w:tcPr>
          <w:p>
            <w:pPr>
              <w:spacing w:after="0"/>
              <w:rPr>
                <w:sz w:val="14"/>
                <w:szCs w:val="14"/>
                <w:color w:val="auto"/>
              </w:rPr>
            </w:pPr>
          </w:p>
        </w:tc>
        <w:tc>
          <w:tcPr>
            <w:tcW w:w="100" w:type="dxa"/>
            <w:vAlign w:val="bottom"/>
            <w:tcBorders>
              <w:bottom w:val="single" w:sz="8" w:color="EAF9E8"/>
            </w:tcBorders>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620" w:type="dxa"/>
            <w:vAlign w:val="bottom"/>
            <w:gridSpan w:val="4"/>
          </w:tcPr>
          <w:p>
            <w:pPr>
              <w:ind w:left="180"/>
              <w:spacing w:after="0" w:line="123" w:lineRule="exact"/>
              <w:rPr>
                <w:sz w:val="20"/>
                <w:szCs w:val="20"/>
                <w:color w:val="auto"/>
              </w:rPr>
            </w:pPr>
            <w:r>
              <w:rPr>
                <w:rFonts w:ascii="Arial" w:cs="Arial" w:eastAsia="Arial" w:hAnsi="Arial"/>
                <w:sz w:val="14"/>
                <w:szCs w:val="14"/>
                <w:color w:val="auto"/>
              </w:rPr>
              <w:t>Senior secured term</w:t>
            </w:r>
          </w:p>
        </w:tc>
        <w:tc>
          <w:tcPr>
            <w:tcW w:w="1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00" w:type="dxa"/>
            <w:vAlign w:val="bottom"/>
          </w:tcPr>
          <w:p>
            <w:pPr>
              <w:spacing w:after="0" w:line="123" w:lineRule="exact"/>
              <w:rPr>
                <w:sz w:val="20"/>
                <w:szCs w:val="20"/>
                <w:color w:val="auto"/>
              </w:rPr>
            </w:pPr>
            <w:r>
              <w:rPr>
                <w:rFonts w:ascii="Arial" w:cs="Arial" w:eastAsia="Arial" w:hAnsi="Arial"/>
                <w:sz w:val="14"/>
                <w:szCs w:val="14"/>
                <w:color w:val="auto"/>
              </w:rPr>
              <w:t>1-Month LIBOR + 700</w:t>
            </w: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loan (1)</w:t>
            </w: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line="149" w:lineRule="exact"/>
              <w:rPr>
                <w:sz w:val="20"/>
                <w:szCs w:val="20"/>
                <w:color w:val="auto"/>
              </w:rPr>
            </w:pPr>
            <w:r>
              <w:rPr>
                <w:rFonts w:ascii="Arial" w:cs="Arial" w:eastAsia="Arial" w:hAnsi="Arial"/>
                <w:sz w:val="14"/>
                <w:szCs w:val="14"/>
                <w:color w:val="auto"/>
              </w:rPr>
              <w:t>bps with a LIBOR floor</w:t>
            </w: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color w:val="auto"/>
              </w:rPr>
              <w:t>of 2% (1)</w:t>
            </w:r>
          </w:p>
        </w:tc>
        <w:tc>
          <w:tcPr>
            <w:tcW w:w="36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June 2015</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vMerge w:val="continue"/>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vMerge w:val="continue"/>
          </w:tcPr>
          <w:p>
            <w:pPr>
              <w:spacing w:after="0"/>
              <w:rPr>
                <w:sz w:val="14"/>
                <w:szCs w:val="1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197,500</w:t>
            </w:r>
          </w:p>
        </w:tc>
        <w:tc>
          <w:tcPr>
            <w:tcW w:w="0" w:type="dxa"/>
            <w:vAlign w:val="bottom"/>
          </w:tcPr>
          <w:p>
            <w:pPr>
              <w:spacing w:after="0"/>
              <w:rPr>
                <w:sz w:val="1"/>
                <w:szCs w:val="1"/>
                <w:color w:val="auto"/>
              </w:rPr>
            </w:pPr>
          </w:p>
        </w:tc>
      </w:tr>
      <w:tr>
        <w:trPr>
          <w:trHeight w:val="130"/>
        </w:trPr>
        <w:tc>
          <w:tcPr>
            <w:tcW w:w="1620" w:type="dxa"/>
            <w:vAlign w:val="bottom"/>
            <w:gridSpan w:val="4"/>
            <w:shd w:val="clear" w:color="auto" w:fill="EAF9E8"/>
          </w:tcPr>
          <w:p>
            <w:pPr>
              <w:ind w:left="180"/>
              <w:spacing w:after="0" w:line="130" w:lineRule="exact"/>
              <w:rPr>
                <w:sz w:val="20"/>
                <w:szCs w:val="20"/>
                <w:color w:val="auto"/>
              </w:rPr>
            </w:pPr>
            <w:r>
              <w:rPr>
                <w:rFonts w:ascii="Arial" w:cs="Arial" w:eastAsia="Arial" w:hAnsi="Arial"/>
                <w:sz w:val="14"/>
                <w:szCs w:val="14"/>
                <w:color w:val="auto"/>
              </w:rPr>
              <w:t>Fee reimbursement</w:t>
            </w:r>
          </w:p>
        </w:tc>
        <w:tc>
          <w:tcPr>
            <w:tcW w:w="150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150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26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1060" w:type="dxa"/>
            <w:vAlign w:val="bottom"/>
            <w:shd w:val="clear" w:color="auto" w:fill="EAF9E8"/>
          </w:tcPr>
          <w:p>
            <w:pPr>
              <w:spacing w:after="0"/>
              <w:rPr>
                <w:sz w:val="11"/>
                <w:szCs w:val="11"/>
                <w:color w:val="auto"/>
              </w:rPr>
            </w:pPr>
          </w:p>
        </w:tc>
        <w:tc>
          <w:tcPr>
            <w:tcW w:w="3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20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11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gridSpan w:val="4"/>
            <w:shd w:val="clear" w:color="auto" w:fill="EAF9E8"/>
          </w:tcPr>
          <w:p>
            <w:pPr>
              <w:ind w:left="340"/>
              <w:spacing w:after="0"/>
              <w:rPr>
                <w:sz w:val="20"/>
                <w:szCs w:val="20"/>
                <w:color w:val="auto"/>
              </w:rPr>
            </w:pPr>
            <w:r>
              <w:rPr>
                <w:rFonts w:ascii="Arial" w:cs="Arial" w:eastAsia="Arial" w:hAnsi="Arial"/>
                <w:sz w:val="14"/>
                <w:szCs w:val="14"/>
                <w:color w:val="auto"/>
              </w:rPr>
              <w:t>advance</w:t>
            </w:r>
          </w:p>
        </w:tc>
        <w:tc>
          <w:tcPr>
            <w:tcW w:w="1500" w:type="dxa"/>
            <w:vAlign w:val="bottom"/>
            <w:shd w:val="clear" w:color="auto" w:fill="EAF9E8"/>
          </w:tcPr>
          <w:p>
            <w:pPr>
              <w:spacing w:after="0"/>
              <w:rPr>
                <w:sz w:val="20"/>
                <w:szCs w:val="20"/>
                <w:color w:val="auto"/>
              </w:rPr>
            </w:pPr>
            <w:r>
              <w:rPr>
                <w:rFonts w:ascii="Arial" w:cs="Arial" w:eastAsia="Arial" w:hAnsi="Arial"/>
                <w:sz w:val="14"/>
                <w:szCs w:val="14"/>
                <w:color w:val="auto"/>
              </w:rPr>
              <w:t>Term note (2)</w:t>
            </w:r>
          </w:p>
        </w:tc>
        <w:tc>
          <w:tcPr>
            <w:tcW w:w="340" w:type="dxa"/>
            <w:vAlign w:val="bottom"/>
            <w:shd w:val="clear" w:color="auto" w:fill="EAF9E8"/>
          </w:tcPr>
          <w:p>
            <w:pPr>
              <w:spacing w:after="0"/>
              <w:rPr>
                <w:sz w:val="14"/>
                <w:szCs w:val="14"/>
                <w:color w:val="auto"/>
              </w:rPr>
            </w:pPr>
          </w:p>
        </w:tc>
        <w:tc>
          <w:tcPr>
            <w:tcW w:w="1500" w:type="dxa"/>
            <w:vAlign w:val="bottom"/>
            <w:shd w:val="clear" w:color="auto" w:fill="EAF9E8"/>
          </w:tcPr>
          <w:p>
            <w:pPr>
              <w:spacing w:after="0"/>
              <w:rPr>
                <w:sz w:val="20"/>
                <w:szCs w:val="20"/>
                <w:color w:val="auto"/>
              </w:rPr>
            </w:pPr>
            <w:r>
              <w:rPr>
                <w:rFonts w:ascii="Arial" w:cs="Arial" w:eastAsia="Arial" w:hAnsi="Arial"/>
                <w:sz w:val="14"/>
                <w:szCs w:val="14"/>
                <w:color w:val="auto"/>
              </w:rPr>
              <w:t>Zero coupon</w:t>
            </w:r>
          </w:p>
        </w:tc>
        <w:tc>
          <w:tcPr>
            <w:tcW w:w="360" w:type="dxa"/>
            <w:vAlign w:val="bottom"/>
            <w:shd w:val="clear" w:color="auto" w:fill="EAF9E8"/>
          </w:tcPr>
          <w:p>
            <w:pPr>
              <w:spacing w:after="0"/>
              <w:rPr>
                <w:sz w:val="14"/>
                <w:szCs w:val="14"/>
                <w:color w:val="auto"/>
              </w:rPr>
            </w:pPr>
          </w:p>
        </w:tc>
        <w:tc>
          <w:tcPr>
            <w:tcW w:w="1260" w:type="dxa"/>
            <w:vAlign w:val="bottom"/>
            <w:shd w:val="clear" w:color="auto" w:fill="EAF9E8"/>
          </w:tcPr>
          <w:p>
            <w:pPr>
              <w:spacing w:after="0"/>
              <w:rPr>
                <w:sz w:val="20"/>
                <w:szCs w:val="20"/>
                <w:color w:val="auto"/>
              </w:rPr>
            </w:pPr>
            <w:r>
              <w:rPr>
                <w:rFonts w:ascii="Arial" w:cs="Arial" w:eastAsia="Arial" w:hAnsi="Arial"/>
                <w:sz w:val="14"/>
                <w:szCs w:val="14"/>
                <w:color w:val="auto"/>
              </w:rPr>
              <w:t>March 2014</w:t>
            </w:r>
          </w:p>
        </w:tc>
        <w:tc>
          <w:tcPr>
            <w:tcW w:w="36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36,000</w:t>
            </w: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48,000</w:t>
            </w:r>
          </w:p>
        </w:tc>
        <w:tc>
          <w:tcPr>
            <w:tcW w:w="0" w:type="dxa"/>
            <w:vAlign w:val="bottom"/>
          </w:tcPr>
          <w:p>
            <w:pPr>
              <w:spacing w:after="0"/>
              <w:rPr>
                <w:sz w:val="1"/>
                <w:szCs w:val="1"/>
                <w:color w:val="auto"/>
              </w:rPr>
            </w:pPr>
          </w:p>
        </w:tc>
      </w:tr>
      <w:tr>
        <w:trPr>
          <w:trHeight w:val="130"/>
        </w:trPr>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line="130" w:lineRule="exact"/>
              <w:rPr>
                <w:sz w:val="20"/>
                <w:szCs w:val="20"/>
                <w:color w:val="auto"/>
              </w:rPr>
            </w:pPr>
            <w:r>
              <w:rPr>
                <w:rFonts w:ascii="Arial" w:cs="Arial" w:eastAsia="Arial" w:hAnsi="Arial"/>
                <w:sz w:val="14"/>
                <w:szCs w:val="14"/>
                <w:color w:val="auto"/>
              </w:rPr>
              <w:t>1-Month LIBOR + 350</w:t>
            </w: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gridSpan w:val="4"/>
          </w:tcPr>
          <w:p>
            <w:pPr>
              <w:ind w:left="180"/>
              <w:spacing w:after="0"/>
              <w:rPr>
                <w:sz w:val="20"/>
                <w:szCs w:val="20"/>
                <w:color w:val="auto"/>
              </w:rPr>
            </w:pPr>
            <w:r>
              <w:rPr>
                <w:rFonts w:ascii="Arial" w:cs="Arial" w:eastAsia="Arial" w:hAnsi="Arial"/>
                <w:sz w:val="14"/>
                <w:szCs w:val="14"/>
                <w:color w:val="auto"/>
              </w:rPr>
              <w:t>Term note (3)</w:t>
            </w:r>
          </w:p>
        </w:tc>
        <w:tc>
          <w:tcPr>
            <w:tcW w:w="1500" w:type="dxa"/>
            <w:vAlign w:val="bottom"/>
          </w:tcPr>
          <w:p>
            <w:pPr>
              <w:spacing w:after="0"/>
              <w:rPr>
                <w:sz w:val="20"/>
                <w:szCs w:val="20"/>
                <w:color w:val="auto"/>
              </w:rPr>
            </w:pPr>
            <w:r>
              <w:rPr>
                <w:rFonts w:ascii="Arial" w:cs="Arial" w:eastAsia="Arial" w:hAnsi="Arial"/>
                <w:sz w:val="14"/>
                <w:szCs w:val="14"/>
                <w:color w:val="auto"/>
              </w:rPr>
              <w:t>Advances</w:t>
            </w:r>
          </w:p>
        </w:tc>
        <w:tc>
          <w:tcPr>
            <w:tcW w:w="340" w:type="dxa"/>
            <w:vAlign w:val="bottom"/>
          </w:tcPr>
          <w:p>
            <w:pPr>
              <w:spacing w:after="0"/>
              <w:rPr>
                <w:sz w:val="14"/>
                <w:szCs w:val="14"/>
                <w:color w:val="auto"/>
              </w:rPr>
            </w:pPr>
          </w:p>
        </w:tc>
        <w:tc>
          <w:tcPr>
            <w:tcW w:w="1500" w:type="dxa"/>
            <w:vAlign w:val="bottom"/>
          </w:tcPr>
          <w:p>
            <w:pPr>
              <w:spacing w:after="0"/>
              <w:rPr>
                <w:sz w:val="20"/>
                <w:szCs w:val="20"/>
                <w:color w:val="auto"/>
              </w:rPr>
            </w:pPr>
            <w:r>
              <w:rPr>
                <w:rFonts w:ascii="Arial" w:cs="Arial" w:eastAsia="Arial" w:hAnsi="Arial"/>
                <w:sz w:val="14"/>
                <w:szCs w:val="14"/>
                <w:color w:val="auto"/>
              </w:rPr>
              <w:t>basis points</w:t>
            </w:r>
          </w:p>
        </w:tc>
        <w:tc>
          <w:tcPr>
            <w:tcW w:w="36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March 2014</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4,200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5,600</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5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5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40,200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251,100</w:t>
            </w:r>
          </w:p>
        </w:tc>
        <w:tc>
          <w:tcPr>
            <w:tcW w:w="0" w:type="dxa"/>
            <w:vAlign w:val="bottom"/>
          </w:tcPr>
          <w:p>
            <w:pPr>
              <w:spacing w:after="0"/>
              <w:rPr>
                <w:sz w:val="1"/>
                <w:szCs w:val="1"/>
                <w:color w:val="auto"/>
              </w:rPr>
            </w:pPr>
          </w:p>
        </w:tc>
      </w:tr>
      <w:tr>
        <w:trPr>
          <w:trHeight w:val="162"/>
        </w:trPr>
        <w:tc>
          <w:tcPr>
            <w:tcW w:w="1620" w:type="dxa"/>
            <w:vAlign w:val="bottom"/>
            <w:tcBorders>
              <w:top w:val="single" w:sz="8" w:color="EAF9E8"/>
            </w:tcBorders>
            <w:gridSpan w:val="4"/>
          </w:tcPr>
          <w:p>
            <w:pPr>
              <w:spacing w:after="0"/>
              <w:rPr>
                <w:sz w:val="20"/>
                <w:szCs w:val="20"/>
                <w:color w:val="auto"/>
              </w:rPr>
            </w:pPr>
            <w:r>
              <w:rPr>
                <w:rFonts w:ascii="Arial" w:cs="Arial" w:eastAsia="Arial" w:hAnsi="Arial"/>
                <w:sz w:val="14"/>
                <w:szCs w:val="14"/>
                <w:color w:val="auto"/>
                <w:w w:val="96"/>
              </w:rPr>
              <w:t>Corporate Items and Other</w:t>
            </w:r>
          </w:p>
        </w:tc>
        <w:tc>
          <w:tcPr>
            <w:tcW w:w="1500" w:type="dxa"/>
            <w:vAlign w:val="bottom"/>
            <w:tcBorders>
              <w:top w:val="single" w:sz="8" w:color="EAF9E8"/>
            </w:tcBorders>
          </w:tcPr>
          <w:p>
            <w:pPr>
              <w:spacing w:after="0"/>
              <w:rPr>
                <w:sz w:val="14"/>
                <w:szCs w:val="14"/>
                <w:color w:val="auto"/>
              </w:rPr>
            </w:pPr>
          </w:p>
        </w:tc>
        <w:tc>
          <w:tcPr>
            <w:tcW w:w="340" w:type="dxa"/>
            <w:vAlign w:val="bottom"/>
            <w:tcBorders>
              <w:top w:val="single" w:sz="8" w:color="EAF9E8"/>
            </w:tcBorders>
          </w:tcPr>
          <w:p>
            <w:pPr>
              <w:spacing w:after="0"/>
              <w:rPr>
                <w:sz w:val="14"/>
                <w:szCs w:val="14"/>
                <w:color w:val="auto"/>
              </w:rPr>
            </w:pPr>
          </w:p>
        </w:tc>
        <w:tc>
          <w:tcPr>
            <w:tcW w:w="1500" w:type="dxa"/>
            <w:vAlign w:val="bottom"/>
            <w:tcBorders>
              <w:top w:val="single" w:sz="8" w:color="EAF9E8"/>
            </w:tcBorders>
          </w:tcPr>
          <w:p>
            <w:pPr>
              <w:spacing w:after="0"/>
              <w:rPr>
                <w:sz w:val="14"/>
                <w:szCs w:val="14"/>
                <w:color w:val="auto"/>
              </w:rPr>
            </w:pPr>
          </w:p>
        </w:tc>
        <w:tc>
          <w:tcPr>
            <w:tcW w:w="360" w:type="dxa"/>
            <w:vAlign w:val="bottom"/>
            <w:tcBorders>
              <w:top w:val="single" w:sz="8" w:color="EAF9E8"/>
            </w:tcBorders>
          </w:tcPr>
          <w:p>
            <w:pPr>
              <w:spacing w:after="0"/>
              <w:rPr>
                <w:sz w:val="14"/>
                <w:szCs w:val="14"/>
                <w:color w:val="auto"/>
              </w:rPr>
            </w:pPr>
          </w:p>
        </w:tc>
        <w:tc>
          <w:tcPr>
            <w:tcW w:w="1260" w:type="dxa"/>
            <w:vAlign w:val="bottom"/>
            <w:tcBorders>
              <w:top w:val="single" w:sz="8" w:color="EAF9E8"/>
            </w:tcBorders>
          </w:tcPr>
          <w:p>
            <w:pPr>
              <w:spacing w:after="0"/>
              <w:rPr>
                <w:sz w:val="14"/>
                <w:szCs w:val="14"/>
                <w:color w:val="auto"/>
              </w:rPr>
            </w:pPr>
          </w:p>
        </w:tc>
        <w:tc>
          <w:tcPr>
            <w:tcW w:w="360" w:type="dxa"/>
            <w:vAlign w:val="bottom"/>
            <w:tcBorders>
              <w:top w:val="single" w:sz="8" w:color="EAF9E8"/>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20" w:type="dxa"/>
            <w:vAlign w:val="bottom"/>
            <w:tcBorders>
              <w:top w:val="single" w:sz="8" w:color="EAF9E8"/>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Borders>
              <w:top w:val="single" w:sz="8" w:color="EAF9E8"/>
            </w:tcBorders>
          </w:tcPr>
          <w:p>
            <w:pPr>
              <w:spacing w:after="0"/>
              <w:rPr>
                <w:sz w:val="14"/>
                <w:szCs w:val="14"/>
                <w:color w:val="auto"/>
              </w:rPr>
            </w:pPr>
          </w:p>
        </w:tc>
        <w:tc>
          <w:tcPr>
            <w:tcW w:w="120" w:type="dxa"/>
            <w:vAlign w:val="bottom"/>
            <w:tcBorders>
              <w:top w:val="single" w:sz="8" w:color="EAF9E8"/>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EAF9E8"/>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540" w:type="dxa"/>
            <w:vAlign w:val="bottom"/>
            <w:tcBorders>
              <w:top w:val="single" w:sz="8" w:color="auto"/>
            </w:tcBorders>
            <w:gridSpan w:val="3"/>
            <w:shd w:val="clear" w:color="auto" w:fill="EAF9E8"/>
          </w:tcPr>
          <w:p>
            <w:pPr>
              <w:ind w:left="180"/>
              <w:spacing w:after="0" w:line="123" w:lineRule="exact"/>
              <w:rPr>
                <w:sz w:val="20"/>
                <w:szCs w:val="20"/>
                <w:color w:val="auto"/>
              </w:rPr>
            </w:pPr>
            <w:r>
              <w:rPr>
                <w:rFonts w:ascii="Arial" w:cs="Arial" w:eastAsia="Arial" w:hAnsi="Arial"/>
                <w:sz w:val="14"/>
                <w:szCs w:val="14"/>
                <w:color w:val="auto"/>
              </w:rPr>
              <w:t>Securities sold under</w:t>
            </w:r>
          </w:p>
        </w:tc>
        <w:tc>
          <w:tcPr>
            <w:tcW w:w="80" w:type="dxa"/>
            <w:vAlign w:val="bottom"/>
            <w:tcBorders>
              <w:top w:val="single" w:sz="8" w:color="EAF9E8"/>
            </w:tcBorders>
            <w:shd w:val="clear" w:color="auto" w:fill="EAF9E8"/>
          </w:tcPr>
          <w:p>
            <w:pPr>
              <w:spacing w:after="0"/>
              <w:rPr>
                <w:sz w:val="10"/>
                <w:szCs w:val="10"/>
                <w:color w:val="auto"/>
              </w:rPr>
            </w:pPr>
          </w:p>
        </w:tc>
        <w:tc>
          <w:tcPr>
            <w:tcW w:w="1500" w:type="dxa"/>
            <w:vAlign w:val="bottom"/>
            <w:tcBorders>
              <w:top w:val="single" w:sz="8" w:color="EAF9E8"/>
            </w:tcBorders>
            <w:shd w:val="clear" w:color="auto" w:fill="EAF9E8"/>
          </w:tcPr>
          <w:p>
            <w:pPr>
              <w:spacing w:after="0" w:line="123" w:lineRule="exact"/>
              <w:rPr>
                <w:sz w:val="20"/>
                <w:szCs w:val="20"/>
                <w:color w:val="auto"/>
              </w:rPr>
            </w:pPr>
            <w:r>
              <w:rPr>
                <w:rFonts w:ascii="Arial" w:cs="Arial" w:eastAsia="Arial" w:hAnsi="Arial"/>
                <w:sz w:val="14"/>
                <w:szCs w:val="14"/>
                <w:color w:val="auto"/>
                <w:w w:val="93"/>
              </w:rPr>
              <w:t>Ocwen Real Estate Asset</w:t>
            </w:r>
          </w:p>
        </w:tc>
        <w:tc>
          <w:tcPr>
            <w:tcW w:w="340" w:type="dxa"/>
            <w:vAlign w:val="bottom"/>
            <w:tcBorders>
              <w:top w:val="single" w:sz="8" w:color="EAF9E8"/>
            </w:tcBorders>
            <w:shd w:val="clear" w:color="auto" w:fill="EAF9E8"/>
          </w:tcPr>
          <w:p>
            <w:pPr>
              <w:spacing w:after="0"/>
              <w:rPr>
                <w:sz w:val="10"/>
                <w:szCs w:val="10"/>
                <w:color w:val="auto"/>
              </w:rPr>
            </w:pPr>
          </w:p>
        </w:tc>
        <w:tc>
          <w:tcPr>
            <w:tcW w:w="1500" w:type="dxa"/>
            <w:vAlign w:val="bottom"/>
            <w:tcBorders>
              <w:top w:val="single" w:sz="8" w:color="EAF9E8"/>
            </w:tcBorders>
            <w:shd w:val="clear" w:color="auto" w:fill="EAF9E8"/>
          </w:tcPr>
          <w:p>
            <w:pPr>
              <w:spacing w:after="0"/>
              <w:rPr>
                <w:sz w:val="10"/>
                <w:szCs w:val="10"/>
                <w:color w:val="auto"/>
              </w:rPr>
            </w:pPr>
          </w:p>
        </w:tc>
        <w:tc>
          <w:tcPr>
            <w:tcW w:w="360" w:type="dxa"/>
            <w:vAlign w:val="bottom"/>
            <w:tcBorders>
              <w:top w:val="single" w:sz="8" w:color="EAF9E8"/>
            </w:tcBorders>
            <w:shd w:val="clear" w:color="auto" w:fill="EAF9E8"/>
          </w:tcPr>
          <w:p>
            <w:pPr>
              <w:spacing w:after="0"/>
              <w:rPr>
                <w:sz w:val="10"/>
                <w:szCs w:val="10"/>
                <w:color w:val="auto"/>
              </w:rPr>
            </w:pPr>
          </w:p>
        </w:tc>
        <w:tc>
          <w:tcPr>
            <w:tcW w:w="1260" w:type="dxa"/>
            <w:vAlign w:val="bottom"/>
            <w:tcBorders>
              <w:top w:val="single" w:sz="8" w:color="EAF9E8"/>
            </w:tcBorders>
            <w:shd w:val="clear" w:color="auto" w:fill="EAF9E8"/>
          </w:tcPr>
          <w:p>
            <w:pPr>
              <w:spacing w:after="0"/>
              <w:rPr>
                <w:sz w:val="10"/>
                <w:szCs w:val="10"/>
                <w:color w:val="auto"/>
              </w:rPr>
            </w:pPr>
          </w:p>
        </w:tc>
        <w:tc>
          <w:tcPr>
            <w:tcW w:w="360" w:type="dxa"/>
            <w:vAlign w:val="bottom"/>
            <w:tcBorders>
              <w:top w:val="single" w:sz="8" w:color="EAF9E8"/>
            </w:tcBorders>
            <w:shd w:val="clear" w:color="auto" w:fill="EAF9E8"/>
          </w:tcPr>
          <w:p>
            <w:pPr>
              <w:spacing w:after="0"/>
              <w:rPr>
                <w:sz w:val="10"/>
                <w:szCs w:val="10"/>
                <w:color w:val="auto"/>
              </w:rPr>
            </w:pPr>
          </w:p>
        </w:tc>
        <w:tc>
          <w:tcPr>
            <w:tcW w:w="180" w:type="dxa"/>
            <w:vAlign w:val="bottom"/>
            <w:tcBorders>
              <w:top w:val="single" w:sz="8" w:color="EAF9E8"/>
            </w:tcBorders>
            <w:shd w:val="clear" w:color="auto" w:fill="EAF9E8"/>
          </w:tcPr>
          <w:p>
            <w:pPr>
              <w:spacing w:after="0"/>
              <w:rPr>
                <w:sz w:val="10"/>
                <w:szCs w:val="10"/>
                <w:color w:val="auto"/>
              </w:rPr>
            </w:pPr>
          </w:p>
        </w:tc>
        <w:tc>
          <w:tcPr>
            <w:tcW w:w="1060" w:type="dxa"/>
            <w:vAlign w:val="bottom"/>
            <w:tcBorders>
              <w:top w:val="single" w:sz="8" w:color="EAF9E8"/>
            </w:tcBorders>
            <w:shd w:val="clear" w:color="auto" w:fill="EAF9E8"/>
          </w:tcPr>
          <w:p>
            <w:pPr>
              <w:spacing w:after="0"/>
              <w:rPr>
                <w:sz w:val="10"/>
                <w:szCs w:val="10"/>
                <w:color w:val="auto"/>
              </w:rPr>
            </w:pPr>
          </w:p>
        </w:tc>
        <w:tc>
          <w:tcPr>
            <w:tcW w:w="320" w:type="dxa"/>
            <w:vAlign w:val="bottom"/>
            <w:tcBorders>
              <w:top w:val="single" w:sz="8" w:color="EAF9E8"/>
            </w:tcBorders>
            <w:shd w:val="clear" w:color="auto" w:fill="EAF9E8"/>
          </w:tcPr>
          <w:p>
            <w:pPr>
              <w:spacing w:after="0"/>
              <w:rPr>
                <w:sz w:val="10"/>
                <w:szCs w:val="10"/>
                <w:color w:val="auto"/>
              </w:rPr>
            </w:pPr>
          </w:p>
        </w:tc>
        <w:tc>
          <w:tcPr>
            <w:tcW w:w="220" w:type="dxa"/>
            <w:vAlign w:val="bottom"/>
            <w:tcBorders>
              <w:top w:val="single" w:sz="8" w:color="EAF9E8"/>
            </w:tcBorders>
            <w:shd w:val="clear" w:color="auto" w:fill="EAF9E8"/>
          </w:tcPr>
          <w:p>
            <w:pPr>
              <w:spacing w:after="0"/>
              <w:rPr>
                <w:sz w:val="10"/>
                <w:szCs w:val="10"/>
                <w:color w:val="auto"/>
              </w:rPr>
            </w:pPr>
          </w:p>
        </w:tc>
        <w:tc>
          <w:tcPr>
            <w:tcW w:w="1020" w:type="dxa"/>
            <w:vAlign w:val="bottom"/>
            <w:tcBorders>
              <w:top w:val="single" w:sz="8" w:color="EAF9E8"/>
            </w:tcBorders>
            <w:shd w:val="clear" w:color="auto" w:fill="EAF9E8"/>
          </w:tcPr>
          <w:p>
            <w:pPr>
              <w:spacing w:after="0"/>
              <w:rPr>
                <w:sz w:val="10"/>
                <w:szCs w:val="10"/>
                <w:color w:val="auto"/>
              </w:rPr>
            </w:pPr>
          </w:p>
        </w:tc>
        <w:tc>
          <w:tcPr>
            <w:tcW w:w="200" w:type="dxa"/>
            <w:vAlign w:val="bottom"/>
            <w:tcBorders>
              <w:top w:val="single" w:sz="8" w:color="EAF9E8"/>
            </w:tcBorders>
            <w:shd w:val="clear" w:color="auto" w:fill="EAF9E8"/>
          </w:tcPr>
          <w:p>
            <w:pPr>
              <w:spacing w:after="0"/>
              <w:rPr>
                <w:sz w:val="10"/>
                <w:szCs w:val="10"/>
                <w:color w:val="auto"/>
              </w:rPr>
            </w:pPr>
          </w:p>
        </w:tc>
        <w:tc>
          <w:tcPr>
            <w:tcW w:w="120" w:type="dxa"/>
            <w:vAlign w:val="bottom"/>
            <w:tcBorders>
              <w:top w:val="single" w:sz="8" w:color="EAF9E8"/>
            </w:tcBorders>
            <w:shd w:val="clear" w:color="auto" w:fill="EAF9E8"/>
          </w:tcPr>
          <w:p>
            <w:pPr>
              <w:spacing w:after="0"/>
              <w:rPr>
                <w:sz w:val="10"/>
                <w:szCs w:val="10"/>
                <w:color w:val="auto"/>
              </w:rPr>
            </w:pPr>
          </w:p>
        </w:tc>
        <w:tc>
          <w:tcPr>
            <w:tcW w:w="140" w:type="dxa"/>
            <w:vAlign w:val="bottom"/>
            <w:tcBorders>
              <w:top w:val="single" w:sz="8" w:color="EAF9E8"/>
            </w:tcBorders>
            <w:shd w:val="clear" w:color="auto" w:fill="EAF9E8"/>
          </w:tcPr>
          <w:p>
            <w:pPr>
              <w:spacing w:after="0"/>
              <w:rPr>
                <w:sz w:val="10"/>
                <w:szCs w:val="10"/>
                <w:color w:val="auto"/>
              </w:rPr>
            </w:pPr>
          </w:p>
        </w:tc>
        <w:tc>
          <w:tcPr>
            <w:tcW w:w="1120" w:type="dxa"/>
            <w:vAlign w:val="bottom"/>
            <w:tcBorders>
              <w:top w:val="single" w:sz="8" w:color="EAF9E8"/>
            </w:tcBorders>
            <w:shd w:val="clear" w:color="auto" w:fill="EAF9E8"/>
          </w:tcPr>
          <w:p>
            <w:pPr>
              <w:spacing w:after="0"/>
              <w:rPr>
                <w:sz w:val="10"/>
                <w:szCs w:val="10"/>
                <w:color w:val="auto"/>
              </w:rPr>
            </w:pPr>
          </w:p>
        </w:tc>
        <w:tc>
          <w:tcPr>
            <w:tcW w:w="100" w:type="dxa"/>
            <w:vAlign w:val="bottom"/>
            <w:tcBorders>
              <w:top w:val="single" w:sz="8" w:color="EAF9E8"/>
            </w:tcBorders>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gridSpan w:val="4"/>
            <w:shd w:val="clear" w:color="auto" w:fill="EAF9E8"/>
          </w:tcPr>
          <w:p>
            <w:pPr>
              <w:ind w:left="340"/>
              <w:spacing w:after="0" w:line="149" w:lineRule="exact"/>
              <w:rPr>
                <w:sz w:val="20"/>
                <w:szCs w:val="20"/>
                <w:color w:val="auto"/>
              </w:rPr>
            </w:pPr>
            <w:r>
              <w:rPr>
                <w:rFonts w:ascii="Arial" w:cs="Arial" w:eastAsia="Arial" w:hAnsi="Arial"/>
                <w:sz w:val="14"/>
                <w:szCs w:val="14"/>
                <w:color w:val="auto"/>
              </w:rPr>
              <w:t>an agreement to</w:t>
            </w:r>
          </w:p>
        </w:tc>
        <w:tc>
          <w:tcPr>
            <w:tcW w:w="150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w w:val="98"/>
              </w:rPr>
              <w:t>Liquidating Trust 2007-1</w:t>
            </w:r>
          </w:p>
        </w:tc>
        <w:tc>
          <w:tcPr>
            <w:tcW w:w="340" w:type="dxa"/>
            <w:vAlign w:val="bottom"/>
            <w:shd w:val="clear" w:color="auto" w:fill="EAF9E8"/>
          </w:tcPr>
          <w:p>
            <w:pPr>
              <w:spacing w:after="0"/>
              <w:rPr>
                <w:sz w:val="12"/>
                <w:szCs w:val="12"/>
                <w:color w:val="auto"/>
              </w:rPr>
            </w:pPr>
          </w:p>
        </w:tc>
        <w:tc>
          <w:tcPr>
            <w:tcW w:w="150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126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106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220" w:type="dxa"/>
            <w:vAlign w:val="bottom"/>
            <w:shd w:val="clear" w:color="auto" w:fill="EAF9E8"/>
          </w:tcPr>
          <w:p>
            <w:pPr>
              <w:spacing w:after="0"/>
              <w:rPr>
                <w:sz w:val="12"/>
                <w:szCs w:val="12"/>
                <w:color w:val="auto"/>
              </w:rPr>
            </w:pPr>
          </w:p>
        </w:tc>
        <w:tc>
          <w:tcPr>
            <w:tcW w:w="102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1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gridSpan w:val="4"/>
            <w:shd w:val="clear" w:color="auto" w:fill="EAF9E8"/>
          </w:tcPr>
          <w:p>
            <w:pPr>
              <w:ind w:left="340"/>
              <w:spacing w:after="0"/>
              <w:rPr>
                <w:sz w:val="20"/>
                <w:szCs w:val="20"/>
                <w:color w:val="auto"/>
              </w:rPr>
            </w:pPr>
            <w:r>
              <w:rPr>
                <w:rFonts w:ascii="Arial" w:cs="Arial" w:eastAsia="Arial" w:hAnsi="Arial"/>
                <w:sz w:val="14"/>
                <w:szCs w:val="14"/>
                <w:color w:val="auto"/>
              </w:rPr>
              <w:t>repurchase (4)</w:t>
            </w:r>
          </w:p>
        </w:tc>
        <w:tc>
          <w:tcPr>
            <w:tcW w:w="1500" w:type="dxa"/>
            <w:vAlign w:val="bottom"/>
            <w:shd w:val="clear" w:color="auto" w:fill="EAF9E8"/>
          </w:tcPr>
          <w:p>
            <w:pPr>
              <w:spacing w:after="0"/>
              <w:rPr>
                <w:sz w:val="20"/>
                <w:szCs w:val="20"/>
                <w:color w:val="auto"/>
              </w:rPr>
            </w:pPr>
            <w:r>
              <w:rPr>
                <w:rFonts w:ascii="Arial" w:cs="Arial" w:eastAsia="Arial" w:hAnsi="Arial"/>
                <w:sz w:val="14"/>
                <w:szCs w:val="14"/>
                <w:color w:val="auto"/>
              </w:rPr>
              <w:t>Notes</w:t>
            </w:r>
          </w:p>
        </w:tc>
        <w:tc>
          <w:tcPr>
            <w:tcW w:w="1840" w:type="dxa"/>
            <w:vAlign w:val="bottom"/>
            <w:gridSpan w:val="2"/>
            <w:shd w:val="clear" w:color="auto" w:fill="EAF9E8"/>
          </w:tcPr>
          <w:p>
            <w:pPr>
              <w:jc w:val="right"/>
              <w:ind w:right="528"/>
              <w:spacing w:after="0"/>
              <w:rPr>
                <w:sz w:val="20"/>
                <w:szCs w:val="20"/>
                <w:color w:val="auto"/>
              </w:rPr>
            </w:pPr>
            <w:r>
              <w:rPr>
                <w:rFonts w:ascii="Arial" w:cs="Arial" w:eastAsia="Arial" w:hAnsi="Arial"/>
                <w:sz w:val="14"/>
                <w:szCs w:val="14"/>
                <w:color w:val="auto"/>
              </w:rPr>
              <w:t>(4)</w:t>
            </w:r>
          </w:p>
        </w:tc>
        <w:tc>
          <w:tcPr>
            <w:tcW w:w="1620" w:type="dxa"/>
            <w:vAlign w:val="bottom"/>
            <w:gridSpan w:val="2"/>
            <w:shd w:val="clear" w:color="auto" w:fill="EAF9E8"/>
          </w:tcPr>
          <w:p>
            <w:pPr>
              <w:jc w:val="right"/>
              <w:ind w:right="408"/>
              <w:spacing w:after="0"/>
              <w:rPr>
                <w:sz w:val="20"/>
                <w:szCs w:val="20"/>
                <w:color w:val="auto"/>
              </w:rPr>
            </w:pPr>
            <w:r>
              <w:rPr>
                <w:rFonts w:ascii="Arial" w:cs="Arial" w:eastAsia="Arial" w:hAnsi="Arial"/>
                <w:sz w:val="14"/>
                <w:szCs w:val="14"/>
                <w:color w:val="auto"/>
              </w:rPr>
              <w:t>(4)</w:t>
            </w:r>
          </w:p>
        </w:tc>
        <w:tc>
          <w:tcPr>
            <w:tcW w:w="36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2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6,716</w:t>
            </w: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7,774</w:t>
            </w:r>
          </w:p>
        </w:tc>
        <w:tc>
          <w:tcPr>
            <w:tcW w:w="0" w:type="dxa"/>
            <w:vAlign w:val="bottom"/>
          </w:tcPr>
          <w:p>
            <w:pPr>
              <w:spacing w:after="0"/>
              <w:rPr>
                <w:sz w:val="1"/>
                <w:szCs w:val="1"/>
                <w:color w:val="auto"/>
              </w:rPr>
            </w:pPr>
          </w:p>
        </w:tc>
      </w:tr>
      <w:tr>
        <w:trPr>
          <w:trHeight w:val="27"/>
        </w:trPr>
        <w:tc>
          <w:tcPr>
            <w:tcW w:w="600" w:type="dxa"/>
            <w:vAlign w:val="bottom"/>
            <w:shd w:val="clear" w:color="auto" w:fill="EAF9E8"/>
          </w:tcPr>
          <w:p>
            <w:pPr>
              <w:spacing w:after="0"/>
              <w:rPr>
                <w:sz w:val="2"/>
                <w:szCs w:val="2"/>
                <w:color w:val="auto"/>
              </w:rPr>
            </w:pPr>
          </w:p>
        </w:tc>
        <w:tc>
          <w:tcPr>
            <w:tcW w:w="7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15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5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46,916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258,874</w:t>
            </w:r>
          </w:p>
        </w:tc>
        <w:tc>
          <w:tcPr>
            <w:tcW w:w="0" w:type="dxa"/>
            <w:vAlign w:val="bottom"/>
          </w:tcPr>
          <w:p>
            <w:pPr>
              <w:spacing w:after="0"/>
              <w:rPr>
                <w:sz w:val="1"/>
                <w:szCs w:val="1"/>
                <w:color w:val="auto"/>
              </w:rPr>
            </w:pPr>
          </w:p>
        </w:tc>
      </w:tr>
      <w:tr>
        <w:trPr>
          <w:trHeight w:val="216"/>
        </w:trPr>
        <w:tc>
          <w:tcPr>
            <w:tcW w:w="1620" w:type="dxa"/>
            <w:vAlign w:val="bottom"/>
            <w:gridSpan w:val="4"/>
            <w:shd w:val="clear" w:color="auto" w:fill="EAF9E8"/>
          </w:tcPr>
          <w:p>
            <w:pPr>
              <w:spacing w:after="0"/>
              <w:rPr>
                <w:sz w:val="20"/>
                <w:szCs w:val="20"/>
                <w:color w:val="auto"/>
              </w:rPr>
            </w:pPr>
            <w:r>
              <w:rPr>
                <w:rFonts w:ascii="Arial" w:cs="Arial" w:eastAsia="Arial" w:hAnsi="Arial"/>
                <w:sz w:val="14"/>
                <w:szCs w:val="14"/>
                <w:color w:val="auto"/>
              </w:rPr>
              <w:t>Discount (2)</w:t>
            </w:r>
          </w:p>
        </w:tc>
        <w:tc>
          <w:tcPr>
            <w:tcW w:w="15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40"/>
              <w:spacing w:after="0"/>
              <w:rPr>
                <w:sz w:val="20"/>
                <w:szCs w:val="20"/>
                <w:color w:val="auto"/>
              </w:rPr>
            </w:pPr>
            <w:r>
              <w:rPr>
                <w:rFonts w:ascii="Arial" w:cs="Arial" w:eastAsia="Arial" w:hAnsi="Arial"/>
                <w:sz w:val="14"/>
                <w:szCs w:val="14"/>
                <w:color w:val="auto"/>
              </w:rPr>
              <w:t>(5,458)</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(12,801)</w:t>
            </w:r>
          </w:p>
        </w:tc>
        <w:tc>
          <w:tcPr>
            <w:tcW w:w="0" w:type="dxa"/>
            <w:vAlign w:val="bottom"/>
          </w:tcPr>
          <w:p>
            <w:pPr>
              <w:spacing w:after="0"/>
              <w:rPr>
                <w:sz w:val="1"/>
                <w:szCs w:val="1"/>
                <w:color w:val="auto"/>
              </w:rPr>
            </w:pPr>
          </w:p>
        </w:tc>
      </w:tr>
      <w:tr>
        <w:trPr>
          <w:trHeight w:val="27"/>
        </w:trPr>
        <w:tc>
          <w:tcPr>
            <w:tcW w:w="600" w:type="dxa"/>
            <w:vAlign w:val="bottom"/>
            <w:shd w:val="clear" w:color="auto" w:fill="EAF9E8"/>
          </w:tcPr>
          <w:p>
            <w:pPr>
              <w:spacing w:after="0"/>
              <w:rPr>
                <w:sz w:val="2"/>
                <w:szCs w:val="2"/>
                <w:color w:val="auto"/>
              </w:rPr>
            </w:pPr>
          </w:p>
        </w:tc>
        <w:tc>
          <w:tcPr>
            <w:tcW w:w="7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15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5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41,458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246,073</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30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June 9, 2011, we terminated this facility and repaid the outstanding balance. We amortized the remaining balance of the original issue discount through this date.</w:t>
      </w:r>
    </w:p>
    <w:p>
      <w:pPr>
        <w:spacing w:after="0" w:line="170" w:lineRule="exact"/>
        <w:rPr>
          <w:rFonts w:ascii="Arial" w:cs="Arial" w:eastAsia="Arial" w:hAnsi="Arial"/>
          <w:sz w:val="18"/>
          <w:szCs w:val="18"/>
          <w:color w:val="auto"/>
        </w:rPr>
      </w:pPr>
    </w:p>
    <w:p>
      <w:pPr>
        <w:ind w:left="580" w:right="20" w:hanging="572"/>
        <w:spacing w:after="0" w:line="288"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pledged our interest in a $60,000 term note issued by OSAF on March 31, 2009 as collateral for this advance. In turn, we have pledged advances on loans serviced for others as collateral for the OSAF note, similar to match funded advances and liabilities. The fee reimbursement advance is payable annually no later than April 30 in five installments of $12,000. However, under the service agreement that governs this advance, a portion of the annual installment is forgiven if the net written premium by the lender for insurance on serviced loans and real estate exceeds $100,000 during the contract year that ends each March 31. Based on the net written premium for the contract year ended March 31, 2011, the lender forgave $1,246 of the outstanding debt balance. We recognized this gain on the extinguishment of debt in Other income (expense), net. We repaid the remainder of the annual $12,000 installment in April 2011. The advance does not carry a stated rate of interest. However, we are compensating the lender for the advance of funds by forgoing the receipt of fees due from the lender over the five-year term of the advance. Accordingly, we recorded the advance as a zero-coupon bond issued at an initial implied discount of $14,627. We used an implicit market rate of 10.1% to compute the discount that we are amortizing to interest expense over the five-year term of the advance. The unamortized balance of the discount at June 30, 2011 is $5,458.</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ind w:left="580" w:right="180" w:hanging="572"/>
        <w:spacing w:after="0" w:line="264"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note that was issued by OSAF is secured by advances on loans serviced for others, similar to match funded advances and liabilities. The lender has pledged its interest in this note to us as collateral against the $5,600 term note receivable from the lender that we hold. See Note 10 additional information.</w:t>
      </w:r>
    </w:p>
    <w:p>
      <w:pPr>
        <w:spacing w:after="0" w:line="181" w:lineRule="exact"/>
        <w:rPr>
          <w:rFonts w:ascii="Arial" w:cs="Arial" w:eastAsia="Arial" w:hAnsi="Arial"/>
          <w:sz w:val="18"/>
          <w:szCs w:val="18"/>
          <w:color w:val="auto"/>
        </w:rPr>
      </w:pPr>
    </w:p>
    <w:p>
      <w:pPr>
        <w:ind w:left="580" w:right="20" w:hanging="572"/>
        <w:spacing w:after="0" w:line="25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August 2010, we obtained financing under a repurchase agreement for the Class A-2 and A-3 notes issued by Ocwen Real Estate Asset Liquidating Trust 2007-1 with a face value of $33,605. This agreement has no stated credit limit and lending is determined for each transaction based on the acceptability of the securities presented as collateral. Borrowings mature and are renewed monthly. The borrowings secured by the Class A-2 notes bear interest at 1-Month LIBOR + 200 basis points and borrowings secured by the Class A-3 notes bear interest at 1-Month LIBOR + 300 basis points.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NOTE 14</w:t>
            </w:r>
          </w:p>
        </w:tc>
        <w:tc>
          <w:tcPr>
            <w:tcW w:w="6600" w:type="dxa"/>
            <w:vAlign w:val="bottom"/>
          </w:tcPr>
          <w:p>
            <w:pPr>
              <w:ind w:left="8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880" w:type="dxa"/>
            <w:vAlign w:val="bottom"/>
            <w:gridSpan w:val="2"/>
          </w:tcPr>
          <w:p>
            <w:pPr>
              <w:ind w:left="320"/>
              <w:spacing w:after="0"/>
              <w:rPr>
                <w:sz w:val="20"/>
                <w:szCs w:val="20"/>
                <w:color w:val="auto"/>
              </w:rPr>
            </w:pPr>
            <w:r>
              <w:rPr>
                <w:rFonts w:ascii="Arial" w:cs="Arial" w:eastAsia="Arial" w:hAnsi="Arial"/>
                <w:sz w:val="18"/>
                <w:szCs w:val="18"/>
                <w:color w:val="auto"/>
              </w:rPr>
              <w:t>Other liabilities were comprised of the following at the dates indicated:</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Accrued expenses (1)(2)</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34,248</w:t>
            </w: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55,816</w:t>
            </w: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Checks held for escheat</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18,135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18,087</w:t>
            </w: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Derivatives, at fair value</w:t>
            </w:r>
          </w:p>
        </w:tc>
        <w:tc>
          <w:tcPr>
            <w:tcW w:w="26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15,787</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15,670</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4"/>
              </w:rPr>
              <w:t>Deferred income</w:t>
            </w:r>
          </w:p>
        </w:tc>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10,394</w:t>
            </w: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Accrued interest payable</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4,029</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4,830</w:t>
            </w: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Payable to Altisource (3)</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3,877</w:t>
            </w: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Servicing liabilities (4)</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3,169</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3,415</w:t>
            </w: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Liability for selected tax items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2,913</w:t>
            </w:r>
          </w:p>
        </w:tc>
      </w:tr>
      <w:tr>
        <w:trPr>
          <w:trHeight w:val="223"/>
        </w:trPr>
        <w:tc>
          <w:tcPr>
            <w:tcW w:w="20" w:type="dxa"/>
            <w:vAlign w:val="bottom"/>
          </w:tcPr>
          <w:p>
            <w:pPr>
              <w:spacing w:after="0"/>
              <w:rPr>
                <w:sz w:val="19"/>
                <w:szCs w:val="19"/>
                <w:color w:val="auto"/>
              </w:rPr>
            </w:pPr>
          </w:p>
        </w:tc>
        <w:tc>
          <w:tcPr>
            <w:tcW w:w="12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 (5)</w:t>
            </w:r>
          </w:p>
        </w:tc>
        <w:tc>
          <w:tcPr>
            <w:tcW w:w="660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15,669</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19"/>
                <w:szCs w:val="19"/>
                <w:color w:val="auto"/>
              </w:rPr>
            </w:pP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25,237</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106,152</w:t>
            </w:r>
          </w:p>
        </w:tc>
        <w:tc>
          <w:tcPr>
            <w:tcW w:w="2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140,239</w:t>
            </w: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420" w:hanging="572"/>
        <w:spacing w:after="0" w:line="308"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balances at June 30, 2011 and December 31, 2010 include $2,700 and $24,366, respectively, of litigation reserves. During 2011, we paid the settlement of one legal proceeding and a judgment in another case. See Note 22 for additional information regarding these cases.</w:t>
      </w:r>
    </w:p>
    <w:p>
      <w:pPr>
        <w:spacing w:after="0" w:line="146" w:lineRule="exact"/>
        <w:rPr>
          <w:rFonts w:ascii="Arial" w:cs="Arial" w:eastAsia="Arial" w:hAnsi="Arial"/>
          <w:sz w:val="17"/>
          <w:szCs w:val="17"/>
          <w:color w:val="auto"/>
        </w:rPr>
      </w:pPr>
    </w:p>
    <w:p>
      <w:pPr>
        <w:ind w:left="580" w:right="160" w:hanging="572"/>
        <w:spacing w:after="0" w:line="25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2010, in connection with the HomEq Acquisition, we accrued facility closure costs of $7,794 for the termination of the HomEq office leases effective in 2013 and $32,954 for employee termination benefits. The balances at June 30, 2011 and December 31, 2010 include $6,526 and $7,794, respectively, of lease termination accruals. The balance at December 31, 2010 includes $1,332 of accruals for employee termination benefits. The change in the accrual balances is due to payments made, net of $27 of amortization of the discount recorded at the time that the lease termination accrual was established.</w:t>
      </w:r>
    </w:p>
    <w:p>
      <w:pPr>
        <w:spacing w:after="0" w:line="188"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20 for additional information regarding our relationship with Altisource.</w:t>
      </w:r>
    </w:p>
    <w:p>
      <w:pPr>
        <w:spacing w:after="0" w:line="225" w:lineRule="exact"/>
        <w:rPr>
          <w:rFonts w:ascii="Arial" w:cs="Arial" w:eastAsia="Arial" w:hAnsi="Arial"/>
          <w:sz w:val="18"/>
          <w:szCs w:val="18"/>
          <w:color w:val="auto"/>
        </w:rPr>
      </w:pPr>
    </w:p>
    <w:p>
      <w:pPr>
        <w:ind w:left="580" w:right="80" w:hanging="572"/>
        <w:spacing w:after="0" w:line="286"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recognize a servicing liability for those agreements that are not expected to compensate us adequately for performing the servicing. During the first six months of 2011, amortization of servicing liabilities exceeded the amount of charges we recognized to increase servicing liability obligations by $246. Amortization of mortgage servicing rights is reported net of this amount in the Consolidated Statement of Operations.</w:t>
      </w:r>
    </w:p>
    <w:p>
      <w:pPr>
        <w:spacing w:after="0" w:line="165" w:lineRule="exact"/>
        <w:rPr>
          <w:rFonts w:ascii="Arial" w:cs="Arial" w:eastAsia="Arial" w:hAnsi="Arial"/>
          <w:sz w:val="17"/>
          <w:szCs w:val="17"/>
          <w:color w:val="auto"/>
        </w:rPr>
      </w:pPr>
    </w:p>
    <w:p>
      <w:pPr>
        <w:ind w:left="580" w:right="60" w:hanging="572"/>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balances at June 30, 2011 and December 31, 2010 include $7,704 and $14,943, respectively, due to investors in connection with loans we service under subservicing agreements.</w:t>
      </w:r>
    </w:p>
    <w:p>
      <w:pPr>
        <w:spacing w:after="0" w:line="1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Because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2010, we entered into foreign exchange forward contracts to hedge against the effect of changes in the value of the India Rupee (INR) on amounts payable to our India subsidiary, OFSPL. We did not designate these contracts as hedges. We did not renew or replace these contracts upon their expiration in April 2011.</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operations in Uruguay also expose us to foreign currency exchange rate risk, but we consider this risk to be insignificant.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22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include certain securitization trusts in our consolidated financial statements as more fully described in Note 1—Securitizations of Residential Mortgage Loans. As a result, we report the fair value of an interest rate swap that is held by one of the securitization trusts. Under the terms of the swap, the trust pays a fixed rate of 4.935% and receives a variable rate equal to 1-Month LIBOR. The notional amount and fair value of the swap was $7,500 and $(133), respectively, at June 30, 2011. This swap was not designated as a hedge and matures in November 2011.</w:t>
      </w:r>
    </w:p>
    <w:p>
      <w:pPr>
        <w:spacing w:after="0" w:line="19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April 2010, we entered into a $250,000 non-amortizing interest rate swap to hedge against the effects of a change in 1-Month LIBOR on borrowing under a $500,000 advance funding facility that carries a variable interest rate. The balance outstanding under this facility at June 30, 2011 was $162,839. Under the terms of the swap, we pay a fixed rate of 2.059% and receive a variable rate equal to 1-Month LIBOR. Settlements commenced in August 2010 and the swap matures in July 2013. The notional amount and fair value of the swap was $250,000 and $(7,677), respectively, at June 30, 2011. Projected net settlements for the next twelve months total approximately $3,637 of payments to the counterparty. We designated this swap as a cash flow hedge.</w:t>
      </w:r>
    </w:p>
    <w:p>
      <w:pPr>
        <w:spacing w:after="0" w:line="185"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In June 2010, we entered into two amortizing interest rate swaps with notional amounts totaling $637,200 to hedge against the effects of changes in the lender’s commercial paper rate and 1-Month LIBOR on borrowings under a second variable-rate advance funding facility entered into in connection with the HomEq Acquisition. The balance outstanding under this facility at June 30, 2011 was $507,986. Under the terms of the two swaps, we pay fixed rates of</w:t>
      </w:r>
    </w:p>
    <w:p>
      <w:pPr>
        <w:jc w:val="both"/>
        <w:spacing w:after="0" w:line="277" w:lineRule="auto"/>
        <w:rPr>
          <w:sz w:val="20"/>
          <w:szCs w:val="20"/>
          <w:color w:val="auto"/>
        </w:rPr>
      </w:pPr>
      <w:r>
        <w:rPr>
          <w:rFonts w:ascii="Arial" w:cs="Arial" w:eastAsia="Arial" w:hAnsi="Arial"/>
          <w:sz w:val="17"/>
          <w:szCs w:val="17"/>
          <w:color w:val="auto"/>
        </w:rPr>
        <w:t>1.575% and 1.5275%, respectively, and receive a variable rate equal to 1-Month LIBOR. Settlements commenced in September 2010 and the swaps mature in August 2013. The notional amount and fair value of the swap was $508,104 and $(7,977), respectively, at June 30, 2011. Projected net settlements for the next twelve months total approximately $5,236 of payments to the counterparty. We designated these swaps as cash flow hedges.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use of derivatives during the six months ended June 30,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40" w:type="dxa"/>
            <w:vAlign w:val="bottom"/>
          </w:tcPr>
          <w:p>
            <w:pPr>
              <w:jc w:val="center"/>
              <w:ind w:left="410"/>
              <w:spacing w:after="0"/>
              <w:rPr>
                <w:sz w:val="20"/>
                <w:szCs w:val="20"/>
                <w:color w:val="auto"/>
              </w:rPr>
            </w:pPr>
            <w:r>
              <w:rPr>
                <w:rFonts w:ascii="Arial" w:cs="Arial" w:eastAsia="Arial" w:hAnsi="Arial"/>
                <w:sz w:val="18"/>
                <w:szCs w:val="18"/>
                <w:b w:val="1"/>
                <w:bCs w:val="1"/>
                <w:color w:val="auto"/>
                <w:w w:val="90"/>
              </w:rPr>
              <w:t>Foreign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4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Exchange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40" w:type="dxa"/>
            <w:vAlign w:val="bottom"/>
          </w:tcPr>
          <w:p>
            <w:pPr>
              <w:jc w:val="center"/>
              <w:ind w:left="410"/>
              <w:spacing w:after="0"/>
              <w:rPr>
                <w:sz w:val="20"/>
                <w:szCs w:val="20"/>
                <w:color w:val="auto"/>
              </w:rPr>
            </w:pPr>
            <w:r>
              <w:rPr>
                <w:rFonts w:ascii="Arial" w:cs="Arial" w:eastAsia="Arial" w:hAnsi="Arial"/>
                <w:sz w:val="18"/>
                <w:szCs w:val="18"/>
                <w:b w:val="1"/>
                <w:bCs w:val="1"/>
                <w:color w:val="auto"/>
                <w:w w:val="93"/>
              </w:rPr>
              <w:t>Forwards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Swaps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at December 31, 2010</w:t>
            </w:r>
          </w:p>
        </w:tc>
        <w:tc>
          <w:tcPr>
            <w:tcW w:w="3220" w:type="dxa"/>
            <w:vAlign w:val="bottom"/>
            <w:gridSpan w:val="2"/>
            <w:shd w:val="clear" w:color="auto" w:fill="EAF9E8"/>
          </w:tcPr>
          <w:p>
            <w:pPr>
              <w:jc w:val="right"/>
              <w:ind w:right="1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6,400</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846,888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Maturities</w:t>
            </w:r>
          </w:p>
        </w:tc>
        <w:tc>
          <w:tcPr>
            <w:tcW w:w="188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4"/>
              </w:rPr>
              <w:t>(6,400)</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7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(81,284)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Terminations</w:t>
            </w:r>
          </w:p>
        </w:tc>
        <w:tc>
          <w:tcPr>
            <w:tcW w:w="188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at June 30, 2011</w:t>
            </w:r>
          </w:p>
        </w:tc>
        <w:tc>
          <w:tcPr>
            <w:tcW w:w="3220" w:type="dxa"/>
            <w:vAlign w:val="bottom"/>
            <w:gridSpan w:val="2"/>
            <w:shd w:val="clear" w:color="auto" w:fill="EAF9E8"/>
          </w:tcPr>
          <w:p>
            <w:pPr>
              <w:jc w:val="right"/>
              <w:ind w:right="1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765,604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EAF9E8"/>
            </w:tcBorders>
          </w:tcPr>
          <w:p>
            <w:pPr>
              <w:spacing w:after="0"/>
              <w:rPr>
                <w:sz w:val="18"/>
                <w:szCs w:val="18"/>
                <w:color w:val="auto"/>
              </w:rPr>
            </w:pPr>
          </w:p>
        </w:tc>
        <w:tc>
          <w:tcPr>
            <w:tcW w:w="1880" w:type="dxa"/>
            <w:vAlign w:val="bottom"/>
            <w:tcBorders>
              <w:top w:val="single" w:sz="8" w:color="EAF9E8"/>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Fair value of derivative assets (liabilities) at (1):</w:t>
            </w:r>
          </w:p>
        </w:tc>
        <w:tc>
          <w:tcPr>
            <w:tcW w:w="188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June 30, 2011</w:t>
            </w:r>
          </w:p>
        </w:tc>
        <w:tc>
          <w:tcPr>
            <w:tcW w:w="3220" w:type="dxa"/>
            <w:vAlign w:val="bottom"/>
            <w:gridSpan w:val="2"/>
          </w:tcPr>
          <w:p>
            <w:pPr>
              <w:jc w:val="right"/>
              <w:ind w:right="11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(15,787)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December 31, 2010</w:t>
            </w:r>
          </w:p>
        </w:tc>
        <w:tc>
          <w:tcPr>
            <w:tcW w:w="3220" w:type="dxa"/>
            <w:vAlign w:val="bottom"/>
            <w:gridSpan w:val="2"/>
            <w:shd w:val="clear" w:color="auto" w:fill="EAF9E8"/>
          </w:tcPr>
          <w:p>
            <w:pPr>
              <w:jc w:val="right"/>
              <w:ind w:right="11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319</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EAF9E8"/>
            </w:tcBorders>
          </w:tcPr>
          <w:p>
            <w:pPr>
              <w:spacing w:after="0"/>
              <w:rPr>
                <w:sz w:val="18"/>
                <w:szCs w:val="18"/>
                <w:color w:val="auto"/>
              </w:rPr>
            </w:pPr>
          </w:p>
        </w:tc>
        <w:tc>
          <w:tcPr>
            <w:tcW w:w="1880" w:type="dxa"/>
            <w:vAlign w:val="bottom"/>
            <w:tcBorders>
              <w:top w:val="single" w:sz="8" w:color="EAF9E8"/>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2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Maturity</w:t>
            </w:r>
          </w:p>
        </w:tc>
        <w:tc>
          <w:tcPr>
            <w:tcW w:w="1880" w:type="dxa"/>
            <w:vAlign w:val="bottom"/>
            <w:shd w:val="clear" w:color="auto" w:fill="EAF9E8"/>
          </w:tcPr>
          <w:p>
            <w:pPr>
              <w:spacing w:after="0"/>
              <w:rPr>
                <w:sz w:val="17"/>
                <w:szCs w:val="17"/>
                <w:color w:val="auto"/>
              </w:rPr>
            </w:pPr>
          </w:p>
        </w:tc>
        <w:tc>
          <w:tcPr>
            <w:tcW w:w="1340" w:type="dxa"/>
            <w:vAlign w:val="bottom"/>
            <w:shd w:val="clear" w:color="auto" w:fill="EAF9E8"/>
          </w:tcPr>
          <w:p>
            <w:pPr>
              <w:jc w:val="center"/>
              <w:ind w:left="390"/>
              <w:spacing w:after="0" w:line="201" w:lineRule="exact"/>
              <w:rPr>
                <w:sz w:val="20"/>
                <w:szCs w:val="20"/>
                <w:color w:val="auto"/>
              </w:rPr>
            </w:pPr>
            <w:r>
              <w:rPr>
                <w:rFonts w:ascii="Arial" w:cs="Arial" w:eastAsia="Arial" w:hAnsi="Arial"/>
                <w:sz w:val="18"/>
                <w:szCs w:val="18"/>
                <w:color w:val="auto"/>
                <w:w w:val="96"/>
              </w:rPr>
              <w:t>April 2011</w:t>
            </w:r>
          </w:p>
        </w:tc>
        <w:tc>
          <w:tcPr>
            <w:tcW w:w="5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760" w:type="dxa"/>
            <w:vAlign w:val="bottom"/>
            <w:gridSpan w:val="2"/>
            <w:shd w:val="clear" w:color="auto" w:fill="EAF9E8"/>
          </w:tcPr>
          <w:p>
            <w:pPr>
              <w:jc w:val="center"/>
              <w:ind w:right="260"/>
              <w:spacing w:after="0" w:line="201" w:lineRule="exact"/>
              <w:rPr>
                <w:sz w:val="20"/>
                <w:szCs w:val="20"/>
                <w:color w:val="auto"/>
              </w:rPr>
            </w:pPr>
            <w:r>
              <w:rPr>
                <w:rFonts w:ascii="Arial" w:cs="Arial" w:eastAsia="Arial" w:hAnsi="Arial"/>
                <w:sz w:val="18"/>
                <w:szCs w:val="18"/>
                <w:color w:val="auto"/>
                <w:w w:val="90"/>
              </w:rPr>
              <w:t>November 2011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shd w:val="clear" w:color="auto" w:fill="EAF9E8"/>
          </w:tcPr>
          <w:p>
            <w:pPr>
              <w:spacing w:after="0"/>
              <w:rPr>
                <w:sz w:val="20"/>
                <w:szCs w:val="20"/>
                <w:color w:val="auto"/>
              </w:rPr>
            </w:pPr>
          </w:p>
        </w:tc>
        <w:tc>
          <w:tcPr>
            <w:tcW w:w="1880" w:type="dxa"/>
            <w:vAlign w:val="bottom"/>
            <w:shd w:val="clear" w:color="auto" w:fill="EAF9E8"/>
          </w:tcPr>
          <w:p>
            <w:pPr>
              <w:spacing w:after="0"/>
              <w:rPr>
                <w:sz w:val="20"/>
                <w:szCs w:val="20"/>
                <w:color w:val="auto"/>
              </w:rPr>
            </w:pPr>
          </w:p>
        </w:tc>
        <w:tc>
          <w:tcPr>
            <w:tcW w:w="1340" w:type="dxa"/>
            <w:vAlign w:val="bottom"/>
            <w:shd w:val="clear" w:color="auto" w:fill="EAF9E8"/>
          </w:tcPr>
          <w:p>
            <w:pPr>
              <w:spacing w:after="0"/>
              <w:rPr>
                <w:sz w:val="20"/>
                <w:szCs w:val="20"/>
                <w:color w:val="auto"/>
              </w:rPr>
            </w:pPr>
          </w:p>
        </w:tc>
        <w:tc>
          <w:tcPr>
            <w:tcW w:w="50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760" w:type="dxa"/>
            <w:vAlign w:val="bottom"/>
            <w:gridSpan w:val="2"/>
            <w:shd w:val="clear" w:color="auto" w:fill="EAF9E8"/>
          </w:tcPr>
          <w:p>
            <w:pPr>
              <w:jc w:val="center"/>
              <w:ind w:right="280"/>
              <w:spacing w:after="0"/>
              <w:rPr>
                <w:sz w:val="20"/>
                <w:szCs w:val="20"/>
                <w:color w:val="auto"/>
              </w:rPr>
            </w:pPr>
            <w:r>
              <w:rPr>
                <w:rFonts w:ascii="Arial" w:cs="Arial" w:eastAsia="Arial" w:hAnsi="Arial"/>
                <w:sz w:val="18"/>
                <w:szCs w:val="18"/>
                <w:color w:val="auto"/>
                <w:w w:val="90"/>
              </w:rPr>
              <w:t>August 2013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Derivatives are reported at fair value in Other assets or in Other liabilities.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realized and unrealized losses included in Other income (expense), net related to derivative financial instruments that were not designated as hedges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were $6 and $710 for the three months ended June 30, 2011 and 2010, respectively. For the year to date periods the net realized and unrealized losses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$117 and $1,144 for 2011 and 2010, respectively. Other income (expense), net for the three and six months ended June 30, 2011 also includes $888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$1,131, respectively, of unrealized losses arising from ineffectiveness of the interest rate swaps that we designated as cash flow hedges. For both the three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months ended June 30, 2010, unrealized losses of $32 arising from the ineffectiveness of the interest rate swaps that we designated as cash flow hedges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included in Other income (expense), net.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ind w:right="680" w:firstLine="324"/>
        <w:spacing w:after="0" w:line="342" w:lineRule="auto"/>
        <w:rPr>
          <w:sz w:val="20"/>
          <w:szCs w:val="20"/>
          <w:color w:val="auto"/>
        </w:rPr>
      </w:pPr>
      <w:r>
        <w:rPr>
          <w:rFonts w:ascii="Arial" w:cs="Arial" w:eastAsia="Arial" w:hAnsi="Arial"/>
          <w:sz w:val="16"/>
          <w:szCs w:val="16"/>
          <w:color w:val="auto"/>
        </w:rPr>
        <w:t>Included in Accumulated other comprehensive loss at June 30, 2011 and December 31, 2010, respectively, was $13,695 and $14,435 of deferred unrealized losses, before taxes of $4,946 and $5,196, respectively, on the interest rate swaps that we designated as cash flow hedges.</w:t>
      </w:r>
    </w:p>
    <w:p>
      <w:pPr>
        <w:spacing w:after="0" w:line="14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SERVICING AND SUBSERVICING FEES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earn fees for providing services to owners of mortgage loans and foreclosed real estate. The following table presents the principal components of servicing and subservicing fees for the periods ended June 30: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Six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Loan servicing and subservicing fees</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72,304</w:t>
            </w:r>
          </w:p>
        </w:tc>
        <w:tc>
          <w:tcPr>
            <w:tcW w:w="58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47,347</w:t>
            </w:r>
          </w:p>
        </w:tc>
        <w:tc>
          <w:tcPr>
            <w:tcW w:w="46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149,741</w:t>
            </w:r>
          </w:p>
        </w:tc>
        <w:tc>
          <w:tcPr>
            <w:tcW w:w="5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93,260</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Home Affordable Modification Program (HAMP) fees</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8,654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4,585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17,292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11,038</w:t>
            </w: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Late charges</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6,691</w:t>
            </w: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7,235</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15,236</w:t>
            </w:r>
          </w:p>
        </w:tc>
        <w:tc>
          <w:tcPr>
            <w:tcW w:w="1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15,415</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Loan collection fees</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2,363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2,113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4,917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4,256</w:t>
            </w: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Custodial accounts (float earnings) (1)</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1,072</w:t>
            </w:r>
          </w:p>
        </w:tc>
        <w:tc>
          <w:tcPr>
            <w:tcW w:w="1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1,448</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10,084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6,999</w:t>
            </w: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240" w:type="dxa"/>
            <w:vAlign w:val="bottom"/>
            <w:shd w:val="clear" w:color="auto" w:fill="EAF9E8"/>
          </w:tcPr>
          <w:p>
            <w:pPr>
              <w:spacing w:after="0"/>
              <w:rPr>
                <w:sz w:val="20"/>
                <w:szCs w:val="20"/>
                <w:color w:val="auto"/>
              </w:rPr>
            </w:pP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95,837</w:t>
            </w:r>
          </w:p>
        </w:tc>
        <w:tc>
          <w:tcPr>
            <w:tcW w:w="1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40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65,936</w:t>
            </w:r>
          </w:p>
        </w:tc>
        <w:tc>
          <w:tcPr>
            <w:tcW w:w="1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198,342</w:t>
            </w:r>
          </w:p>
        </w:tc>
        <w:tc>
          <w:tcPr>
            <w:tcW w:w="5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132,416</w:t>
            </w: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ind w:left="580" w:right="460" w:hanging="572"/>
        <w:spacing w:after="0" w:line="27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three and six months ended June 30, 2010, float earnings included $137 and $619 of interest income from our investment in auction rate securities.</w:t>
      </w:r>
    </w:p>
    <w:p>
      <w:pPr>
        <w:spacing w:after="0" w:line="1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components of Interest expense for each category of our interest-bearing liabilities for the periods ended June 30: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Six months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18,170</w:t>
            </w:r>
          </w:p>
        </w:tc>
        <w:tc>
          <w:tcPr>
            <w:tcW w:w="58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11,666</w:t>
            </w:r>
          </w:p>
        </w:tc>
        <w:tc>
          <w:tcPr>
            <w:tcW w:w="46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38,954</w:t>
            </w:r>
          </w:p>
        </w:tc>
        <w:tc>
          <w:tcPr>
            <w:tcW w:w="5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21,667</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Lines of credit and other secured borrowings</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17,264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Secured borrowings – owed to securitization investors</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224</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Investment line</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w:t>
            </w:r>
          </w:p>
        </w:tc>
        <w:tc>
          <w:tcPr>
            <w:tcW w:w="2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3.25% Convertible Notes</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10.875% Capital Trust Securities</w:t>
            </w:r>
          </w:p>
        </w:tc>
        <w:tc>
          <w:tcPr>
            <w:tcW w:w="2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712</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1,534</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240" w:type="dxa"/>
            <w:vAlign w:val="bottom"/>
            <w:shd w:val="clear" w:color="auto" w:fill="EAF9E8"/>
          </w:tcPr>
          <w:p>
            <w:pPr>
              <w:spacing w:after="0"/>
              <w:rPr>
                <w:sz w:val="20"/>
                <w:szCs w:val="20"/>
                <w:color w:val="auto"/>
              </w:rPr>
            </w:pP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21,813</w:t>
            </w:r>
          </w:p>
        </w:tc>
        <w:tc>
          <w:tcPr>
            <w:tcW w:w="1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40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13,359</w:t>
            </w:r>
          </w:p>
        </w:tc>
        <w:tc>
          <w:tcPr>
            <w:tcW w:w="1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59,356</w:t>
            </w:r>
          </w:p>
        </w:tc>
        <w:tc>
          <w:tcPr>
            <w:tcW w:w="5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25,830</w:t>
            </w: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BASIC AND DILUTED EARNINGS PER SHARE</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Basic EPS excludes common stock equivalents and is calculated by dividing net income (loss) attributable to OCN by the weighted average number of common shares outstanding during the period. We calculate diluted EPS by dividing net income attributable to OCN, as adjusted to add back interest expense net of income tax on the 3.25% Convertible Notes, by the weighted average number of common shares outstanding including the potential dilutive common shares related to outstanding stock options, restricted stock awards and the 3.25% Convertible Notes.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color w:val="auto"/>
        </w:rPr>
        <w:t>The following is a reconciliation of the calculation of basic EPS to diluted EPS for the periods ended June 30: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Six months</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auto"/>
            </w:tcBorders>
            <w:shd w:val="clear" w:color="auto" w:fill="EAF9E8"/>
          </w:tcPr>
          <w:p>
            <w:pPr>
              <w:spacing w:after="0" w:line="202" w:lineRule="exact"/>
              <w:rPr>
                <w:sz w:val="20"/>
                <w:szCs w:val="20"/>
                <w:color w:val="auto"/>
              </w:rPr>
            </w:pPr>
            <w:r>
              <w:rPr>
                <w:rFonts w:ascii="Arial" w:cs="Arial" w:eastAsia="Arial" w:hAnsi="Arial"/>
                <w:sz w:val="18"/>
                <w:szCs w:val="18"/>
                <w:color w:val="auto"/>
                <w:w w:val="86"/>
              </w:rPr>
              <w:t>Basic EPS:</w:t>
            </w:r>
          </w:p>
        </w:tc>
        <w:tc>
          <w:tcPr>
            <w:tcW w:w="4440" w:type="dxa"/>
            <w:vAlign w:val="bottom"/>
            <w:tcBorders>
              <w:bottom w:val="single" w:sz="8" w:color="EAF9E8"/>
            </w:tcBorders>
            <w:gridSpan w:val="2"/>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104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36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0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EAF9E8"/>
            </w:tcBorders>
            <w:shd w:val="clear" w:color="auto" w:fill="EAF9E8"/>
          </w:tcPr>
          <w:p>
            <w:pPr>
              <w:spacing w:after="0"/>
              <w:rPr>
                <w:sz w:val="19"/>
                <w:szCs w:val="19"/>
                <w:color w:val="auto"/>
              </w:rPr>
            </w:pPr>
          </w:p>
        </w:tc>
        <w:tc>
          <w:tcPr>
            <w:tcW w:w="9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Net income attributable to Ocwen Financial Corporation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26,378</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16,038</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48,452</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36,898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3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Weighted average shares of common stock</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100,943,402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100,168,953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100,853,424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100,072,950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3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0.48</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3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gridSpan w:val="4"/>
          </w:tcPr>
          <w:p>
            <w:pPr>
              <w:spacing w:after="0" w:line="202" w:lineRule="exact"/>
              <w:rPr>
                <w:sz w:val="20"/>
                <w:szCs w:val="20"/>
                <w:color w:val="auto"/>
              </w:rPr>
            </w:pPr>
            <w:r>
              <w:rPr>
                <w:rFonts w:ascii="Arial" w:cs="Arial" w:eastAsia="Arial" w:hAnsi="Arial"/>
                <w:sz w:val="18"/>
                <w:szCs w:val="18"/>
                <w:color w:val="auto"/>
              </w:rPr>
              <w:t>Diluted EPS: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Net income attributable to Ocwen Financial Corporation</w:t>
            </w: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26,378</w:t>
            </w:r>
          </w:p>
        </w:tc>
        <w:tc>
          <w:tcPr>
            <w:tcW w:w="540" w:type="dxa"/>
            <w:vAlign w:val="bottom"/>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16,038</w:t>
            </w:r>
          </w:p>
        </w:tc>
        <w:tc>
          <w:tcPr>
            <w:tcW w:w="40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48,452</w:t>
            </w:r>
          </w:p>
        </w:tc>
        <w:tc>
          <w:tcPr>
            <w:tcW w:w="4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w w:val="97"/>
              </w:rPr>
              <w:t>Interest expense on 3.25% Convertible Notes, net of income tax (1)</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Adjusted net income attributable to Ocwen Financial Corporation</w:t>
            </w: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26,672</w:t>
            </w:r>
          </w:p>
        </w:tc>
        <w:tc>
          <w:tcPr>
            <w:tcW w:w="1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16,340</w:t>
            </w:r>
          </w:p>
        </w:tc>
        <w:tc>
          <w:tcPr>
            <w:tcW w:w="1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49,040</w:t>
            </w:r>
          </w:p>
        </w:tc>
        <w:tc>
          <w:tcPr>
            <w:tcW w:w="4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37,501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430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100,943,402</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89"/>
              </w:rPr>
              <w:t>100,168,953</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9"/>
              </w:rPr>
              <w:t>100,853,424</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1"/>
              </w:rPr>
              <w:t>100,072,950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Effect of dilutive elements: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3.25% Convertible Notes (1)</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4,637,224</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4,637,224</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4,637,224</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4,637,224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Stock options (2) (3)</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2,529,962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2,921,915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2,454,033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2,813,837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Common stock awards</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430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Dilutive weighted average shares of common stock</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108,110,588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107,728,092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107,944,681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107,526,786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3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3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Stock options excluded from the computation of diluted EPS: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Anti-dilutive (2)</w:t>
            </w:r>
          </w:p>
        </w:tc>
        <w:tc>
          <w:tcPr>
            <w:tcW w:w="24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3"/>
          </w:tcPr>
          <w:p>
            <w:pPr>
              <w:ind w:left="160"/>
              <w:spacing w:after="0"/>
              <w:rPr>
                <w:sz w:val="20"/>
                <w:szCs w:val="20"/>
                <w:color w:val="auto"/>
              </w:rPr>
            </w:pPr>
            <w:r>
              <w:rPr>
                <w:rFonts w:ascii="Arial" w:cs="Arial" w:eastAsia="Arial" w:hAnsi="Arial"/>
                <w:sz w:val="18"/>
                <w:szCs w:val="18"/>
                <w:color w:val="auto"/>
              </w:rPr>
              <w:t>Market-based (3)</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1,615,000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1,770,000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1,615,000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1,770,000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80" w:right="40" w:hanging="572"/>
        <w:spacing w:after="0" w:line="302"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 of our 3.25% Convertible Notes on diluted EPS is computed using the if-converted method. Interest expense and related amortization costs applicable to the 3.25% Convertible Notes, net of income tax, are added back to net income. Conversion of the 3.25% Convertible Notes into shares of common stock is assumed for purposes of computing diluted EPS unless the effect would be anti-dilutive. The effect is anti-dilutive whenever interest expense on the 3.25% Convertible Notes, net of income tax, per common share obtainable on conversion exceeds basic EPS.</w:t>
      </w:r>
    </w:p>
    <w:p>
      <w:pPr>
        <w:spacing w:after="0" w:line="154" w:lineRule="exact"/>
        <w:rPr>
          <w:rFonts w:ascii="Arial" w:cs="Arial" w:eastAsia="Arial" w:hAnsi="Arial"/>
          <w:sz w:val="16"/>
          <w:szCs w:val="16"/>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stock options were anti-dilutive under the treasury stock method.</w:t>
      </w:r>
    </w:p>
    <w:p>
      <w:pPr>
        <w:spacing w:after="0" w:line="225" w:lineRule="exact"/>
        <w:rPr>
          <w:rFonts w:ascii="Arial" w:cs="Arial" w:eastAsia="Arial" w:hAnsi="Arial"/>
          <w:sz w:val="18"/>
          <w:szCs w:val="18"/>
          <w:color w:val="auto"/>
        </w:rPr>
      </w:pPr>
    </w:p>
    <w:p>
      <w:pPr>
        <w:ind w:left="580" w:right="680" w:hanging="572"/>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that are issuable upon the achievement of certain performance criteria related to OCN’s stock price and an annualized rate of return to investors.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BUSINESS SEGMENT REPORTING</w:t>
      </w:r>
    </w:p>
    <w:p>
      <w:pPr>
        <w:spacing w:after="0" w:line="229"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Effective January 1, 2011, we realigned our business segments in response to the growth in our core servicing business and the continuing reductions in our equity investments in asset management vehicles and our remaining investments in subprime loans and residual securities. Effective with this realignment, our former Loans and Residuals segment and Asset Management Vehicles segment are included in Corporate Items and Other. Our business segments reflect the internal reporting that we use to evaluate operating performance of products and services and to assess the allocation of our resources. Segment results for prior periods have been restated to conform to the current segment structure.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brief description of our current business segments is as follows:</w:t>
      </w:r>
    </w:p>
    <w:p>
      <w:pPr>
        <w:spacing w:after="0" w:line="25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provides loan servicing for a fee, including asset management and resolution services, primarily to owners of subprime</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mortgages. In most cases, we provide these services either because we purchased the MSR from the owner of the mortgage or because we entered into a subservicing or special servicing agreement with the entity that owns the MSR. Subprime loans represent residential loans we service that were made to borrowers who generally did not qualify under guidelines of Fannie Mae and Freddie Mac (nonconforming loans) or have subsequently become delinquent. This segment is primarily comprised of our core residential servicing business.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ind w:right="340" w:firstLine="324"/>
        <w:spacing w:after="0" w:line="312"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We report items of revenue and expense that are not directly related to a business, business activities that are individually</w:t>
      </w:r>
      <w:r>
        <w:rPr>
          <w:rFonts w:ascii="Arial" w:cs="Arial" w:eastAsia="Arial" w:hAnsi="Arial"/>
          <w:sz w:val="16"/>
          <w:szCs w:val="16"/>
          <w:i w:val="1"/>
          <w:iCs w:val="1"/>
          <w:color w:val="auto"/>
        </w:rPr>
        <w:t xml:space="preserve"> </w:t>
      </w:r>
      <w:r>
        <w:rPr>
          <w:rFonts w:ascii="Arial" w:cs="Arial" w:eastAsia="Arial" w:hAnsi="Arial"/>
          <w:sz w:val="16"/>
          <w:szCs w:val="16"/>
          <w:color w:val="auto"/>
        </w:rPr>
        <w:t>insignificant, interest income on short-term investments of cash and certain corporate expenses in Corporate Items and Other. Debt securities, which are comprised of the 3.25% Convertible Notes and the 10.875% Capital Trust Securities, are also included in Corporate Items and Other.</w:t>
      </w:r>
    </w:p>
    <w:p>
      <w:pPr>
        <w:spacing w:after="0" w:line="174"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Effective with the segment realignment discussed above, Corporate Items and Other includes the former Loans and Residuals segment and the former Asset Management Vehicles segment</w:t>
      </w:r>
      <w:r>
        <w:rPr>
          <w:rFonts w:ascii="Arial" w:cs="Arial" w:eastAsia="Arial" w:hAnsi="Arial"/>
          <w:sz w:val="16"/>
          <w:szCs w:val="16"/>
          <w:i w:val="1"/>
          <w:iCs w:val="1"/>
          <w:color w:val="auto"/>
        </w:rPr>
        <w:t>.</w:t>
      </w:r>
      <w:r>
        <w:rPr>
          <w:rFonts w:ascii="Arial" w:cs="Arial" w:eastAsia="Arial" w:hAnsi="Arial"/>
          <w:sz w:val="16"/>
          <w:szCs w:val="16"/>
          <w:color w:val="auto"/>
        </w:rPr>
        <w:t xml:space="preserve"> Our recently acquired equity investment in Correspondent One is also included in Corporate Items and Other.</w:t>
      </w:r>
    </w:p>
    <w:p>
      <w:pPr>
        <w:spacing w:after="0" w:line="124"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former Loans and Residuals segment included our investments in subprime residential loans held for resale and subprime residual mortgage backed trading securities related to our former subprime loan origination operation and whole loan purchase and securitization activities. The Loans and Residuals segment also included the four loan securitization trusts that we began including in our consolidated financial statements effective January 1, 2010. The former Asset Management Vehicles segment was comprised of our 25% equity investment in OSI and approximately a 25% equity investment in ONL and OREO. These unconsolidated entities are engaged in the management of residential assets. Other business activities included in Corporate Items and Other that are not considered to be of continuing significance include our affordable housing investment activities.</w:t>
      </w:r>
    </w:p>
    <w:p>
      <w:pPr>
        <w:spacing w:after="0" w:line="205"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funding of investments made, including interest earned on cash balances and short-term investments and interest incurred on corporate debt. We also allocate expenses generated by corporate support services to each business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20" w:type="dxa"/>
            <w:vAlign w:val="bottom"/>
            <w:gridSpan w:val="2"/>
          </w:tcPr>
          <w:p>
            <w:pPr>
              <w:ind w:left="320"/>
              <w:spacing w:after="0"/>
              <w:rPr>
                <w:sz w:val="20"/>
                <w:szCs w:val="20"/>
                <w:color w:val="auto"/>
              </w:rPr>
            </w:pPr>
            <w:r>
              <w:rPr>
                <w:rFonts w:ascii="Arial" w:cs="Arial" w:eastAsia="Arial" w:hAnsi="Arial"/>
                <w:sz w:val="18"/>
                <w:szCs w:val="18"/>
                <w:color w:val="auto"/>
              </w:rPr>
              <w:t>Financial information for our segments is as follows: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Items and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Corporate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Servicing</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Results of Operations</w:t>
            </w:r>
          </w:p>
        </w:tc>
        <w:tc>
          <w:tcPr>
            <w:tcW w:w="40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110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shd w:val="clear" w:color="auto" w:fill="EAF9E8"/>
          </w:tcPr>
          <w:p>
            <w:pPr>
              <w:spacing w:after="0" w:line="202" w:lineRule="exact"/>
              <w:rPr>
                <w:sz w:val="20"/>
                <w:szCs w:val="20"/>
                <w:color w:val="auto"/>
              </w:rPr>
            </w:pPr>
            <w:r>
              <w:rPr>
                <w:rFonts w:ascii="Arial" w:cs="Arial" w:eastAsia="Arial" w:hAnsi="Arial"/>
                <w:sz w:val="18"/>
                <w:szCs w:val="18"/>
                <w:color w:val="auto"/>
              </w:rPr>
              <w:t>For the three months ended June 30, 2011</w:t>
            </w:r>
          </w:p>
        </w:tc>
        <w:tc>
          <w:tcPr>
            <w:tcW w:w="4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1520" w:type="dxa"/>
            <w:vAlign w:val="bottom"/>
            <w:tcBorders>
              <w:top w:val="single" w:sz="8" w:color="EAF9E8"/>
            </w:tcBorders>
          </w:tcPr>
          <w:p>
            <w:pPr>
              <w:spacing w:after="0"/>
              <w:rPr>
                <w:sz w:val="18"/>
                <w:szCs w:val="18"/>
                <w:color w:val="auto"/>
              </w:rPr>
            </w:pPr>
          </w:p>
        </w:tc>
        <w:tc>
          <w:tcPr>
            <w:tcW w:w="40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08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10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 (1)(2)</w:t>
            </w: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105,493</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635</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(291)</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105,837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Operating expenses (3)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40,799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42,254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4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64,694</w:t>
            </w: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top w:val="single" w:sz="8" w:color="EAF9E8"/>
            </w:tcBorders>
            <w:gridSpan w:val="2"/>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2,255</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Interest expense (3)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(21,751)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Other (2)</w:t>
            </w:r>
          </w:p>
        </w:tc>
        <w:tc>
          <w:tcPr>
            <w:tcW w:w="4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(3,053)</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shd w:val="clear" w:color="auto" w:fill="EAF9E8"/>
          </w:tcPr>
          <w:p>
            <w:pPr>
              <w:spacing w:after="0"/>
              <w:rPr>
                <w:sz w:val="2"/>
                <w:szCs w:val="2"/>
                <w:color w:val="auto"/>
              </w:rPr>
            </w:pPr>
          </w:p>
        </w:tc>
        <w:tc>
          <w:tcPr>
            <w:tcW w:w="1520" w:type="dxa"/>
            <w:vAlign w:val="bottom"/>
            <w:shd w:val="clear" w:color="auto" w:fill="EAF9E8"/>
          </w:tcPr>
          <w:p>
            <w:pPr>
              <w:spacing w:after="0"/>
              <w:rPr>
                <w:sz w:val="2"/>
                <w:szCs w:val="2"/>
                <w:color w:val="auto"/>
              </w:rPr>
            </w:pPr>
          </w:p>
        </w:tc>
        <w:tc>
          <w:tcPr>
            <w:tcW w:w="40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32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(21,803)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(22,547)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Income (loss) before income taxes</w:t>
            </w: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42,891</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(1,855)</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41,036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EAF9E8"/>
            </w:tcBorders>
          </w:tcPr>
          <w:p>
            <w:pPr>
              <w:spacing w:after="0"/>
              <w:rPr>
                <w:sz w:val="18"/>
                <w:szCs w:val="18"/>
                <w:color w:val="auto"/>
              </w:rPr>
            </w:pPr>
          </w:p>
        </w:tc>
        <w:tc>
          <w:tcPr>
            <w:tcW w:w="1520" w:type="dxa"/>
            <w:vAlign w:val="bottom"/>
            <w:tcBorders>
              <w:top w:val="single" w:sz="8" w:color="EAF9E8"/>
            </w:tcBorders>
          </w:tcPr>
          <w:p>
            <w:pPr>
              <w:spacing w:after="0"/>
              <w:rPr>
                <w:sz w:val="18"/>
                <w:szCs w:val="18"/>
                <w:color w:val="auto"/>
              </w:rPr>
            </w:pPr>
          </w:p>
        </w:tc>
        <w:tc>
          <w:tcPr>
            <w:tcW w:w="40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shd w:val="clear" w:color="auto" w:fill="EAF9E8"/>
          </w:tcPr>
          <w:p>
            <w:pPr>
              <w:spacing w:after="0" w:line="202" w:lineRule="exact"/>
              <w:rPr>
                <w:sz w:val="20"/>
                <w:szCs w:val="20"/>
                <w:color w:val="auto"/>
              </w:rPr>
            </w:pPr>
            <w:r>
              <w:rPr>
                <w:rFonts w:ascii="Arial" w:cs="Arial" w:eastAsia="Arial" w:hAnsi="Arial"/>
                <w:sz w:val="18"/>
                <w:szCs w:val="18"/>
                <w:color w:val="auto"/>
              </w:rPr>
              <w:t>For the three months ended June 30, 2010</w:t>
            </w:r>
          </w:p>
        </w:tc>
        <w:tc>
          <w:tcPr>
            <w:tcW w:w="4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1520" w:type="dxa"/>
            <w:vAlign w:val="bottom"/>
            <w:tcBorders>
              <w:top w:val="single" w:sz="8" w:color="EAF9E8"/>
            </w:tcBorders>
          </w:tcPr>
          <w:p>
            <w:pPr>
              <w:spacing w:after="0"/>
              <w:rPr>
                <w:sz w:val="18"/>
                <w:szCs w:val="18"/>
                <w:color w:val="auto"/>
              </w:rPr>
            </w:pPr>
          </w:p>
        </w:tc>
        <w:tc>
          <w:tcPr>
            <w:tcW w:w="40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08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10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Revenue (1)(2)</w:t>
            </w: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75,759</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601</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(407)</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Operating expenses (3)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41,241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44,658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4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34,518</w:t>
            </w: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(3,028)</w:t>
            </w: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top w:val="single" w:sz="8" w:color="EAF9E8"/>
            </w:tcBorders>
            <w:gridSpan w:val="2"/>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1,852</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Interest expense (3)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(13,017)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Other (2)(4)</w:t>
            </w:r>
          </w:p>
        </w:tc>
        <w:tc>
          <w:tcPr>
            <w:tcW w:w="4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(6,645)</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shd w:val="clear" w:color="auto" w:fill="EAF9E8"/>
          </w:tcPr>
          <w:p>
            <w:pPr>
              <w:spacing w:after="0"/>
              <w:rPr>
                <w:sz w:val="2"/>
                <w:szCs w:val="2"/>
                <w:color w:val="auto"/>
              </w:rPr>
            </w:pPr>
          </w:p>
        </w:tc>
        <w:tc>
          <w:tcPr>
            <w:tcW w:w="1520" w:type="dxa"/>
            <w:vAlign w:val="bottom"/>
            <w:shd w:val="clear" w:color="auto" w:fill="EAF9E8"/>
          </w:tcPr>
          <w:p>
            <w:pPr>
              <w:spacing w:after="0"/>
              <w:rPr>
                <w:sz w:val="2"/>
                <w:szCs w:val="2"/>
                <w:color w:val="auto"/>
              </w:rPr>
            </w:pPr>
          </w:p>
        </w:tc>
        <w:tc>
          <w:tcPr>
            <w:tcW w:w="40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32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(13,093)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(5,135)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Income (loss) before income taxes</w:t>
            </w: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21,425</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(8,163)</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13,262</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000" w:type="dxa"/>
            <w:vAlign w:val="bottom"/>
            <w:tcBorders>
              <w:top w:val="single" w:sz="8" w:color="EAF9E8"/>
            </w:tcBorders>
          </w:tcPr>
          <w:p>
            <w:pPr>
              <w:spacing w:after="0"/>
              <w:rPr>
                <w:sz w:val="24"/>
                <w:szCs w:val="24"/>
                <w:color w:val="auto"/>
              </w:rPr>
            </w:pPr>
          </w:p>
        </w:tc>
        <w:tc>
          <w:tcPr>
            <w:tcW w:w="1520" w:type="dxa"/>
            <w:vAlign w:val="bottom"/>
            <w:tcBorders>
              <w:top w:val="single" w:sz="8" w:color="EAF9E8"/>
            </w:tcBorders>
          </w:tcPr>
          <w:p>
            <w:pPr>
              <w:spacing w:after="0"/>
              <w:rPr>
                <w:sz w:val="24"/>
                <w:szCs w:val="24"/>
                <w:color w:val="auto"/>
              </w:rPr>
            </w:pPr>
          </w:p>
        </w:tc>
        <w:tc>
          <w:tcPr>
            <w:tcW w:w="400" w:type="dxa"/>
            <w:vAlign w:val="bottom"/>
            <w:tcBorders>
              <w:top w:val="single" w:sz="8" w:color="EAF9E8"/>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EAF9E8"/>
            </w:tcBorders>
          </w:tcPr>
          <w:p>
            <w:pPr>
              <w:spacing w:after="0"/>
              <w:rPr>
                <w:sz w:val="24"/>
                <w:szCs w:val="24"/>
                <w:color w:val="auto"/>
              </w:rPr>
            </w:pPr>
          </w:p>
        </w:tc>
        <w:tc>
          <w:tcPr>
            <w:tcW w:w="200" w:type="dxa"/>
            <w:vAlign w:val="bottom"/>
            <w:tcBorders>
              <w:top w:val="single" w:sz="8" w:color="EAF9E8"/>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Borders>
              <w:top w:val="single" w:sz="8" w:color="EAF9E8"/>
            </w:tcBorders>
          </w:tcPr>
          <w:p>
            <w:pPr>
              <w:spacing w:after="0"/>
              <w:rPr>
                <w:sz w:val="24"/>
                <w:szCs w:val="24"/>
                <w:color w:val="auto"/>
              </w:rPr>
            </w:pPr>
          </w:p>
        </w:tc>
        <w:tc>
          <w:tcPr>
            <w:tcW w:w="200" w:type="dxa"/>
            <w:vAlign w:val="bottom"/>
            <w:tcBorders>
              <w:top w:val="single" w:sz="8" w:color="EAF9E8"/>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EAF9E8"/>
            </w:tcBorders>
          </w:tcPr>
          <w:p>
            <w:pPr>
              <w:spacing w:after="0"/>
              <w:rPr>
                <w:sz w:val="24"/>
                <w:szCs w:val="24"/>
                <w:color w:val="auto"/>
              </w:rPr>
            </w:pPr>
          </w:p>
        </w:tc>
        <w:tc>
          <w:tcPr>
            <w:tcW w:w="180" w:type="dxa"/>
            <w:vAlign w:val="bottom"/>
            <w:tcBorders>
              <w:top w:val="single" w:sz="8" w:color="EAF9E8"/>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Items and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Corporate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Segments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Servicing</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3"/>
            <w:shd w:val="clear" w:color="auto" w:fill="EAF9E8"/>
          </w:tcPr>
          <w:p>
            <w:pPr>
              <w:spacing w:after="0" w:line="202" w:lineRule="exact"/>
              <w:rPr>
                <w:sz w:val="20"/>
                <w:szCs w:val="20"/>
                <w:color w:val="auto"/>
              </w:rPr>
            </w:pPr>
            <w:r>
              <w:rPr>
                <w:rFonts w:ascii="Arial" w:cs="Arial" w:eastAsia="Arial" w:hAnsi="Arial"/>
                <w:sz w:val="18"/>
                <w:szCs w:val="18"/>
                <w:color w:val="auto"/>
              </w:rPr>
              <w:t>For the six months ended June 30, 2011</w:t>
            </w:r>
          </w:p>
        </w:tc>
        <w:tc>
          <w:tcPr>
            <w:tcW w:w="10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40" w:type="dxa"/>
            <w:vAlign w:val="bottom"/>
            <w:tcBorders>
              <w:top w:val="single" w:sz="8" w:color="EAF9E8"/>
            </w:tcBorders>
          </w:tcPr>
          <w:p>
            <w:pPr>
              <w:spacing w:after="0"/>
              <w:rPr>
                <w:sz w:val="18"/>
                <w:szCs w:val="18"/>
                <w:color w:val="auto"/>
              </w:rPr>
            </w:pPr>
          </w:p>
        </w:tc>
        <w:tc>
          <w:tcPr>
            <w:tcW w:w="1020" w:type="dxa"/>
            <w:vAlign w:val="bottom"/>
            <w:tcBorders>
              <w:top w:val="single" w:sz="8" w:color="EAF9E8"/>
            </w:tcBorders>
          </w:tcPr>
          <w:p>
            <w:pPr>
              <w:spacing w:after="0"/>
              <w:rPr>
                <w:sz w:val="18"/>
                <w:szCs w:val="18"/>
                <w:color w:val="auto"/>
              </w:rPr>
            </w:pPr>
          </w:p>
        </w:tc>
        <w:tc>
          <w:tcPr>
            <w:tcW w:w="100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06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10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 (1)(2)</w:t>
            </w:r>
          </w:p>
        </w:tc>
        <w:tc>
          <w:tcPr>
            <w:tcW w:w="12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216,362</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1,107</w:t>
            </w:r>
          </w:p>
        </w:tc>
        <w:tc>
          <w:tcPr>
            <w:tcW w:w="24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(626)</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Operating expenses (3)</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80,581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83,453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10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135,781</w:t>
            </w: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(2,094)</w:t>
            </w: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EAF9E8"/>
            </w:tcBorders>
            <w:gridSpan w:val="3"/>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4,377</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ind w:left="160"/>
              <w:spacing w:after="0"/>
              <w:rPr>
                <w:sz w:val="20"/>
                <w:szCs w:val="20"/>
                <w:color w:val="auto"/>
              </w:rPr>
            </w:pPr>
            <w:r>
              <w:rPr>
                <w:rFonts w:ascii="Arial" w:cs="Arial" w:eastAsia="Arial" w:hAnsi="Arial"/>
                <w:sz w:val="18"/>
                <w:szCs w:val="18"/>
                <w:color w:val="auto"/>
              </w:rPr>
              <w:t>Interest expense (3)</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(59,252)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Other (2)</w:t>
            </w: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1,061</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(4,325)</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shd w:val="clear" w:color="auto" w:fill="EAF9E8"/>
          </w:tcPr>
          <w:p>
            <w:pPr>
              <w:spacing w:after="0"/>
              <w:rPr>
                <w:sz w:val="2"/>
                <w:szCs w:val="2"/>
                <w:color w:val="auto"/>
              </w:rPr>
            </w:pPr>
          </w:p>
        </w:tc>
        <w:tc>
          <w:tcPr>
            <w:tcW w:w="4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100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ind w:left="320"/>
              <w:spacing w:after="0"/>
              <w:rPr>
                <w:sz w:val="20"/>
                <w:szCs w:val="20"/>
                <w:color w:val="auto"/>
              </w:rPr>
            </w:pPr>
            <w:r>
              <w:rPr>
                <w:rFonts w:ascii="Arial" w:cs="Arial" w:eastAsia="Arial" w:hAnsi="Arial"/>
                <w:sz w:val="18"/>
                <w:szCs w:val="18"/>
                <w:color w:val="auto"/>
              </w:rPr>
              <w:t>Other income (expense), net</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(58,110)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(57,865)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Income (loss) before income taxes</w:t>
            </w:r>
          </w:p>
        </w:tc>
        <w:tc>
          <w:tcPr>
            <w:tcW w:w="12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77,671</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(2,146)</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EAF9E8"/>
            </w:tcBorders>
          </w:tcPr>
          <w:p>
            <w:pPr>
              <w:spacing w:after="0"/>
              <w:rPr>
                <w:sz w:val="18"/>
                <w:szCs w:val="18"/>
                <w:color w:val="auto"/>
              </w:rPr>
            </w:pPr>
          </w:p>
        </w:tc>
        <w:tc>
          <w:tcPr>
            <w:tcW w:w="40" w:type="dxa"/>
            <w:vAlign w:val="bottom"/>
            <w:tcBorders>
              <w:top w:val="single" w:sz="8" w:color="EAF9E8"/>
            </w:tcBorders>
          </w:tcPr>
          <w:p>
            <w:pPr>
              <w:spacing w:after="0"/>
              <w:rPr>
                <w:sz w:val="18"/>
                <w:szCs w:val="18"/>
                <w:color w:val="auto"/>
              </w:rPr>
            </w:pPr>
          </w:p>
        </w:tc>
        <w:tc>
          <w:tcPr>
            <w:tcW w:w="1020" w:type="dxa"/>
            <w:vAlign w:val="bottom"/>
            <w:tcBorders>
              <w:top w:val="single" w:sz="8" w:color="EAF9E8"/>
            </w:tcBorders>
          </w:tcPr>
          <w:p>
            <w:pPr>
              <w:spacing w:after="0"/>
              <w:rPr>
                <w:sz w:val="18"/>
                <w:szCs w:val="18"/>
                <w:color w:val="auto"/>
              </w:rPr>
            </w:pPr>
          </w:p>
        </w:tc>
        <w:tc>
          <w:tcPr>
            <w:tcW w:w="100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3"/>
            <w:shd w:val="clear" w:color="auto" w:fill="EAF9E8"/>
          </w:tcPr>
          <w:p>
            <w:pPr>
              <w:spacing w:after="0" w:line="202" w:lineRule="exact"/>
              <w:rPr>
                <w:sz w:val="20"/>
                <w:szCs w:val="20"/>
                <w:color w:val="auto"/>
              </w:rPr>
            </w:pPr>
            <w:r>
              <w:rPr>
                <w:rFonts w:ascii="Arial" w:cs="Arial" w:eastAsia="Arial" w:hAnsi="Arial"/>
                <w:sz w:val="18"/>
                <w:szCs w:val="18"/>
                <w:color w:val="auto"/>
              </w:rPr>
              <w:t>For the six months ended June 30, 2010:</w:t>
            </w:r>
          </w:p>
        </w:tc>
        <w:tc>
          <w:tcPr>
            <w:tcW w:w="10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20" w:type="dxa"/>
            <w:vAlign w:val="bottom"/>
            <w:tcBorders>
              <w:top w:val="single" w:sz="8" w:color="EAF9E8"/>
            </w:tcBorders>
          </w:tcPr>
          <w:p>
            <w:pPr>
              <w:spacing w:after="0"/>
              <w:rPr>
                <w:sz w:val="18"/>
                <w:szCs w:val="18"/>
                <w:color w:val="auto"/>
              </w:rPr>
            </w:pPr>
          </w:p>
        </w:tc>
        <w:tc>
          <w:tcPr>
            <w:tcW w:w="100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06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110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2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 (1)(2)</w:t>
            </w:r>
          </w:p>
        </w:tc>
        <w:tc>
          <w:tcPr>
            <w:tcW w:w="12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151,212</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1,138</w:t>
            </w:r>
          </w:p>
        </w:tc>
        <w:tc>
          <w:tcPr>
            <w:tcW w:w="240" w:type="dxa"/>
            <w:vAlign w:val="bottom"/>
            <w:shd w:val="clear" w:color="auto" w:fill="EAF9E8"/>
          </w:tcPr>
          <w:p>
            <w:pPr>
              <w:spacing w:after="0"/>
              <w:rPr>
                <w:sz w:val="18"/>
                <w:szCs w:val="18"/>
                <w:color w:val="auto"/>
              </w:rPr>
            </w:pP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(811)</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Operating expenses (3)</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72,028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8,211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79,835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10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79,184</w:t>
            </w:r>
          </w:p>
        </w:tc>
        <w:tc>
          <w:tcPr>
            <w:tcW w:w="2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(7,073)</w:t>
            </w:r>
          </w:p>
        </w:tc>
        <w:tc>
          <w:tcPr>
            <w:tcW w:w="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EAF9E8"/>
            </w:tcBorders>
            <w:gridSpan w:val="3"/>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5,435</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ind w:left="160"/>
              <w:spacing w:after="0"/>
              <w:rPr>
                <w:sz w:val="20"/>
                <w:szCs w:val="20"/>
                <w:color w:val="auto"/>
              </w:rPr>
            </w:pPr>
            <w:r>
              <w:rPr>
                <w:rFonts w:ascii="Arial" w:cs="Arial" w:eastAsia="Arial" w:hAnsi="Arial"/>
                <w:sz w:val="18"/>
                <w:szCs w:val="18"/>
                <w:color w:val="auto"/>
              </w:rPr>
              <w:t>Interest expense (3)</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(24,154)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Other (2)(4)</w:t>
            </w: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(1,209)</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(5,910)</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(6,712)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shd w:val="clear" w:color="auto" w:fill="EAF9E8"/>
          </w:tcPr>
          <w:p>
            <w:pPr>
              <w:spacing w:after="0"/>
              <w:rPr>
                <w:sz w:val="2"/>
                <w:szCs w:val="2"/>
                <w:color w:val="auto"/>
              </w:rPr>
            </w:pPr>
          </w:p>
        </w:tc>
        <w:tc>
          <w:tcPr>
            <w:tcW w:w="4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100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ind w:left="320"/>
              <w:spacing w:after="0"/>
              <w:rPr>
                <w:sz w:val="20"/>
                <w:szCs w:val="20"/>
                <w:color w:val="auto"/>
              </w:rPr>
            </w:pPr>
            <w:r>
              <w:rPr>
                <w:rFonts w:ascii="Arial" w:cs="Arial" w:eastAsia="Arial" w:hAnsi="Arial"/>
                <w:sz w:val="18"/>
                <w:szCs w:val="18"/>
                <w:color w:val="auto"/>
              </w:rPr>
              <w:t>Other income (expense), net</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(25,253)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(2,151)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Income (loss) before income taxes</w:t>
            </w:r>
          </w:p>
        </w:tc>
        <w:tc>
          <w:tcPr>
            <w:tcW w:w="12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53,931</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(9,224)</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44,707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EAF9E8"/>
            </w:tcBorders>
          </w:tcPr>
          <w:p>
            <w:pPr>
              <w:spacing w:after="0"/>
              <w:rPr>
                <w:sz w:val="18"/>
                <w:szCs w:val="18"/>
                <w:color w:val="auto"/>
              </w:rPr>
            </w:pPr>
          </w:p>
        </w:tc>
        <w:tc>
          <w:tcPr>
            <w:tcW w:w="40" w:type="dxa"/>
            <w:vAlign w:val="bottom"/>
            <w:tcBorders>
              <w:top w:val="single" w:sz="8" w:color="EAF9E8"/>
            </w:tcBorders>
          </w:tcPr>
          <w:p>
            <w:pPr>
              <w:spacing w:after="0"/>
              <w:rPr>
                <w:sz w:val="18"/>
                <w:szCs w:val="18"/>
                <w:color w:val="auto"/>
              </w:rPr>
            </w:pPr>
          </w:p>
        </w:tc>
        <w:tc>
          <w:tcPr>
            <w:tcW w:w="1020" w:type="dxa"/>
            <w:vAlign w:val="bottom"/>
            <w:tcBorders>
              <w:top w:val="single" w:sz="8" w:color="EAF9E8"/>
            </w:tcBorders>
          </w:tcPr>
          <w:p>
            <w:pPr>
              <w:spacing w:after="0"/>
              <w:rPr>
                <w:sz w:val="18"/>
                <w:szCs w:val="18"/>
                <w:color w:val="auto"/>
              </w:rPr>
            </w:pPr>
          </w:p>
        </w:tc>
        <w:tc>
          <w:tcPr>
            <w:tcW w:w="100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3"/>
            <w:shd w:val="clear" w:color="auto" w:fill="EAF9E8"/>
          </w:tcPr>
          <w:p>
            <w:pPr>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ind w:left="160"/>
              <w:spacing w:after="0"/>
              <w:rPr>
                <w:sz w:val="20"/>
                <w:szCs w:val="20"/>
                <w:color w:val="auto"/>
              </w:rPr>
            </w:pPr>
            <w:r>
              <w:rPr>
                <w:rFonts w:ascii="Arial" w:cs="Arial" w:eastAsia="Arial" w:hAnsi="Arial"/>
                <w:sz w:val="18"/>
                <w:szCs w:val="18"/>
                <w:color w:val="auto"/>
              </w:rPr>
              <w:t>June 30, 2011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1,893,917</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394,832</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2,288,749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3"/>
          </w:tcPr>
          <w:p>
            <w:pPr>
              <w:ind w:left="160"/>
              <w:spacing w:after="0"/>
              <w:rPr>
                <w:sz w:val="20"/>
                <w:szCs w:val="20"/>
                <w:color w:val="auto"/>
              </w:rPr>
            </w:pPr>
            <w:r>
              <w:rPr>
                <w:rFonts w:ascii="Arial" w:cs="Arial" w:eastAsia="Arial" w:hAnsi="Arial"/>
                <w:sz w:val="18"/>
                <w:szCs w:val="18"/>
                <w:color w:val="auto"/>
              </w:rPr>
              <w:t>December 31, 2010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2,495,966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425,443</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2,921,409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AF9E8"/>
          </w:tcPr>
          <w:p>
            <w:pPr>
              <w:spacing w:after="0"/>
              <w:rPr>
                <w:sz w:val="18"/>
                <w:szCs w:val="18"/>
                <w:color w:val="auto"/>
              </w:rPr>
            </w:pPr>
          </w:p>
        </w:tc>
        <w:tc>
          <w:tcPr>
            <w:tcW w:w="4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3"/>
          </w:tcPr>
          <w:p>
            <w:pPr>
              <w:ind w:left="160"/>
              <w:spacing w:after="0"/>
              <w:rPr>
                <w:sz w:val="20"/>
                <w:szCs w:val="20"/>
                <w:color w:val="auto"/>
              </w:rPr>
            </w:pPr>
            <w:r>
              <w:rPr>
                <w:rFonts w:ascii="Arial" w:cs="Arial" w:eastAsia="Arial" w:hAnsi="Arial"/>
                <w:sz w:val="18"/>
                <w:szCs w:val="18"/>
                <w:color w:val="auto"/>
              </w:rPr>
              <w:t>June 30, 2010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1,550,231</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527,298</w:t>
            </w:r>
          </w:p>
        </w:tc>
        <w:tc>
          <w:tcPr>
            <w:tcW w:w="24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2,077,529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-4562475</wp:posOffset>
            </wp:positionV>
            <wp:extent cx="285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4"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Intersegment revenues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Items and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Servicing</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center"/>
              <w:ind w:left="13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For the three months ended June 30, 2011</w:t>
            </w:r>
          </w:p>
        </w:tc>
        <w:tc>
          <w:tcPr>
            <w:tcW w:w="1000" w:type="dxa"/>
            <w:vAlign w:val="bottom"/>
            <w:shd w:val="clear" w:color="auto" w:fill="EAF9E8"/>
          </w:tcPr>
          <w:p>
            <w:pPr>
              <w:jc w:val="right"/>
              <w:ind w:right="83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w w:val="79"/>
              </w:rPr>
              <w:t>270</w:t>
            </w:r>
          </w:p>
        </w:tc>
        <w:tc>
          <w:tcPr>
            <w:tcW w:w="1280" w:type="dxa"/>
            <w:vAlign w:val="bottom"/>
            <w:gridSpan w:val="2"/>
            <w:shd w:val="clear" w:color="auto" w:fill="EAF9E8"/>
          </w:tcPr>
          <w:p>
            <w:pPr>
              <w:jc w:val="right"/>
              <w:ind w:right="8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89"/>
              </w:rPr>
              <w:t>21</w:t>
            </w:r>
          </w:p>
        </w:tc>
        <w:tc>
          <w:tcPr>
            <w:tcW w:w="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For the three months ended June 30, 2010</w:t>
            </w:r>
          </w:p>
        </w:tc>
        <w:tc>
          <w:tcPr>
            <w:tcW w:w="10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363</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For the six months ended June 30, 2011</w:t>
            </w:r>
          </w:p>
        </w:tc>
        <w:tc>
          <w:tcPr>
            <w:tcW w:w="1000" w:type="dxa"/>
            <w:vAlign w:val="bottom"/>
            <w:shd w:val="clear" w:color="auto" w:fill="EAF9E8"/>
          </w:tcPr>
          <w:p>
            <w:pPr>
              <w:spacing w:after="0"/>
              <w:rPr>
                <w:sz w:val="18"/>
                <w:szCs w:val="18"/>
                <w:color w:val="auto"/>
              </w:rPr>
            </w:pPr>
          </w:p>
        </w:tc>
        <w:tc>
          <w:tcPr>
            <w:tcW w:w="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w w:val="79"/>
              </w:rPr>
              <w:t>571</w:t>
            </w:r>
          </w:p>
        </w:tc>
        <w:tc>
          <w:tcPr>
            <w:tcW w:w="2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89"/>
              </w:rPr>
              <w:t>55</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For the six months ended June 30, 2010</w:t>
            </w:r>
          </w:p>
        </w:tc>
        <w:tc>
          <w:tcPr>
            <w:tcW w:w="10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720</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91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80" w:right="200" w:hanging="572"/>
        <w:spacing w:after="0" w:line="312"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rPr>
              <w:t>(3)</w:t>
            </w:r>
          </w:p>
        </w:tc>
        <w:tc>
          <w:tcPr>
            <w:tcW w:w="6240" w:type="dxa"/>
            <w:vAlign w:val="bottom"/>
            <w:gridSpan w:val="3"/>
          </w:tcPr>
          <w:p>
            <w:pPr>
              <w:ind w:left="180"/>
              <w:spacing w:after="0"/>
              <w:rPr>
                <w:sz w:val="20"/>
                <w:szCs w:val="20"/>
                <w:color w:val="auto"/>
              </w:rPr>
            </w:pPr>
            <w:r>
              <w:rPr>
                <w:rFonts w:ascii="Arial" w:cs="Arial" w:eastAsia="Arial" w:hAnsi="Arial"/>
                <w:sz w:val="18"/>
                <w:szCs w:val="18"/>
                <w:color w:val="auto"/>
              </w:rPr>
              <w:t>Depreciation and amortization expense are as follows: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Corporate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Items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Servicing</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auto"/>
            </w:tcBorders>
            <w:gridSpan w:val="3"/>
            <w:shd w:val="clear" w:color="auto" w:fill="EAF9E8"/>
          </w:tcPr>
          <w:p>
            <w:pPr>
              <w:spacing w:after="0" w:line="202" w:lineRule="exact"/>
              <w:rPr>
                <w:sz w:val="20"/>
                <w:szCs w:val="20"/>
                <w:color w:val="auto"/>
              </w:rPr>
            </w:pPr>
            <w:r>
              <w:rPr>
                <w:rFonts w:ascii="Arial" w:cs="Arial" w:eastAsia="Arial" w:hAnsi="Arial"/>
                <w:sz w:val="18"/>
                <w:szCs w:val="18"/>
                <w:color w:val="auto"/>
                <w:w w:val="87"/>
              </w:rPr>
              <w:t>For the three months ended June 30, 2011:</w:t>
            </w:r>
          </w:p>
        </w:tc>
        <w:tc>
          <w:tcPr>
            <w:tcW w:w="356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top w:val="single" w:sz="8" w:color="auto"/>
              <w:bottom w:val="single" w:sz="8" w:color="EAF9E8"/>
            </w:tcBorders>
            <w:shd w:val="clear" w:color="auto" w:fill="EAF9E8"/>
          </w:tcPr>
          <w:p>
            <w:pPr>
              <w:spacing w:after="0"/>
              <w:rPr>
                <w:sz w:val="19"/>
                <w:szCs w:val="19"/>
                <w:color w:val="auto"/>
              </w:rPr>
            </w:pPr>
          </w:p>
        </w:tc>
        <w:tc>
          <w:tcPr>
            <w:tcW w:w="1080" w:type="dxa"/>
            <w:vAlign w:val="bottom"/>
            <w:tcBorders>
              <w:top w:val="single" w:sz="8" w:color="auto"/>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top w:val="single" w:sz="8" w:color="auto"/>
              <w:bottom w:val="single" w:sz="8" w:color="EAF9E8"/>
            </w:tcBorders>
            <w:shd w:val="clear" w:color="auto" w:fill="EAF9E8"/>
          </w:tcPr>
          <w:p>
            <w:pPr>
              <w:spacing w:after="0"/>
              <w:rPr>
                <w:sz w:val="19"/>
                <w:szCs w:val="19"/>
                <w:color w:val="auto"/>
              </w:rPr>
            </w:pPr>
          </w:p>
        </w:tc>
        <w:tc>
          <w:tcPr>
            <w:tcW w:w="1080" w:type="dxa"/>
            <w:vAlign w:val="bottom"/>
            <w:tcBorders>
              <w:top w:val="single" w:sz="8" w:color="auto"/>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top w:val="single" w:sz="8" w:color="auto"/>
              <w:bottom w:val="single" w:sz="8" w:color="EAF9E8"/>
            </w:tcBorders>
            <w:shd w:val="clear" w:color="auto" w:fill="EAF9E8"/>
          </w:tcPr>
          <w:p>
            <w:pPr>
              <w:spacing w:after="0"/>
              <w:rPr>
                <w:sz w:val="19"/>
                <w:szCs w:val="19"/>
                <w:color w:val="auto"/>
              </w:rPr>
            </w:pPr>
          </w:p>
        </w:tc>
        <w:tc>
          <w:tcPr>
            <w:tcW w:w="1140" w:type="dxa"/>
            <w:vAlign w:val="bottom"/>
            <w:tcBorders>
              <w:top w:val="single" w:sz="8" w:color="auto"/>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9,926</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Amortization of debt discount</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1,297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auto"/>
            </w:tcBorders>
            <w:gridSpan w:val="3"/>
            <w:shd w:val="clear" w:color="auto" w:fill="EAF9E8"/>
          </w:tcPr>
          <w:p>
            <w:pPr>
              <w:spacing w:after="0" w:line="202" w:lineRule="exact"/>
              <w:rPr>
                <w:sz w:val="20"/>
                <w:szCs w:val="20"/>
                <w:color w:val="auto"/>
              </w:rPr>
            </w:pPr>
            <w:r>
              <w:rPr>
                <w:rFonts w:ascii="Arial" w:cs="Arial" w:eastAsia="Arial" w:hAnsi="Arial"/>
                <w:sz w:val="18"/>
                <w:szCs w:val="18"/>
                <w:color w:val="auto"/>
                <w:w w:val="87"/>
              </w:rPr>
              <w:t>For the three months ended June 30, 2010:</w:t>
            </w:r>
          </w:p>
        </w:tc>
        <w:tc>
          <w:tcPr>
            <w:tcW w:w="356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108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08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7,854</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Amortization of debt discount</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958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5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gridSpan w:val="5"/>
          </w:tcPr>
          <w:p>
            <w:pPr>
              <w:spacing w:after="0" w:line="202" w:lineRule="exact"/>
              <w:rPr>
                <w:sz w:val="20"/>
                <w:szCs w:val="20"/>
                <w:color w:val="auto"/>
              </w:rPr>
            </w:pPr>
            <w:r>
              <w:rPr>
                <w:rFonts w:ascii="Arial" w:cs="Arial" w:eastAsia="Arial" w:hAnsi="Arial"/>
                <w:sz w:val="18"/>
                <w:szCs w:val="18"/>
                <w:color w:val="auto"/>
              </w:rPr>
              <w:t>For the six months ended June 30, 2011:</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837</w:t>
            </w:r>
          </w:p>
        </w:tc>
        <w:tc>
          <w:tcPr>
            <w:tcW w:w="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Amortization of MSRs</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18,849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debt discount</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7,343</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8,604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5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gridSpan w:val="5"/>
          </w:tcPr>
          <w:p>
            <w:pPr>
              <w:spacing w:after="0" w:line="202" w:lineRule="exact"/>
              <w:rPr>
                <w:sz w:val="20"/>
                <w:szCs w:val="20"/>
                <w:color w:val="auto"/>
              </w:rPr>
            </w:pPr>
            <w:r>
              <w:rPr>
                <w:rFonts w:ascii="Arial" w:cs="Arial" w:eastAsia="Arial" w:hAnsi="Arial"/>
                <w:sz w:val="18"/>
                <w:szCs w:val="18"/>
                <w:color w:val="auto"/>
              </w:rPr>
              <w:t>For the six months ended June 30, 2010:</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29</w:t>
            </w:r>
          </w:p>
        </w:tc>
        <w:tc>
          <w:tcPr>
            <w:tcW w:w="4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712</w:t>
            </w:r>
          </w:p>
        </w:tc>
        <w:tc>
          <w:tcPr>
            <w:tcW w:w="3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Amortization of MSRs</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14,229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Amortization of debt discount</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2,104</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800" w:hanging="57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income (expense) for the three and six months ended June 30, 2010 includes net losses on auction rate securities of $1,703 and $938, respectively, recorded in Corporate Items and Other.</w:t>
      </w:r>
    </w:p>
    <w:p>
      <w:pPr>
        <w:spacing w:after="0" w:line="1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On August 10, 2009, we completed the distribution of our Ocwen Solutions line of business, except for BMS Holdings and GSS, via the spin-off of Altisource. Altisource common stock is listed on the NASDAQ market under the ticker symbol “ASPS.” We distributed all of the shares of Altisource common stock to OCN’s shareholders of record as of August 4, 2009 (the Separation). Although Altisource is a separate company from Ocwen after the Separation, Altisource and Ocwen have the same Chairman of the Board, William C. Erbey. As a result, he has obligations to Ocwen as well as to Altisource. Mr. Erbey currently owns approximately 18% of the common stock of Ocwen and owns approximately 23% of the common stock of Altisource.</w:t>
      </w:r>
    </w:p>
    <w:p>
      <w:pPr>
        <w:spacing w:after="0" w:line="185"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For purposes of governing certain of the ongoing relationships between Ocwen and Altisource after the Separation, and to provide for an orderly transition to the status of two independent companies, we entered into certain agreements with Altisource. Under these agreements, Altisource and Ocwen provide to each other services in such areas as human resources, vendor management, corporate services, six sigma, quality assurance, quantitative analytics, treasury, accounting, tax matters, risk management, law, strategic planning, compliance and other areas where we, and Altisource, may need transition assistance and support following the Separation. In addition, Altisource provides certain technology products and support services to us, including the REAL suite of applications that support our Servicing business.</w:t>
      </w:r>
    </w:p>
    <w:p>
      <w:pPr>
        <w:spacing w:after="0" w:line="20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Certain services provided by Altisource under these contracts are charged to the borrower and/or loan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208"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Our business is currently dependent on many of the services and products provided under these long-term contracts which are effective for up to eight years with renewal rights.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74"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For the three and six months ended June 30, 2011, we generated revenues of $2,473 and $5,379, respectively, under our agreements with Altisource, principally from fees for providing referral services to Altisource. During the same periods of 2010, we generated revenues of $3,843 and $7,034, respectively. We also incurred expenses of $5,301 and $10,392 during the three and six months ended June 30, 2011, respectively, principally for technology products and support services including the REAL suite of products that support our Servicing business. During the same periods of 2010, we incurred expenses of $4,899 and $9,581, respectively. At June 30, 2011, the net payable to Altisource was $977.</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ind w:right="340" w:firstLine="324"/>
        <w:spacing w:after="0" w:line="264" w:lineRule="auto"/>
        <w:rPr>
          <w:sz w:val="20"/>
          <w:szCs w:val="20"/>
          <w:color w:val="auto"/>
        </w:rPr>
      </w:pPr>
      <w:r>
        <w:rPr>
          <w:rFonts w:ascii="Arial" w:cs="Arial" w:eastAsia="Arial" w:hAnsi="Arial"/>
          <w:sz w:val="18"/>
          <w:szCs w:val="18"/>
          <w:color w:val="auto"/>
        </w:rPr>
        <w:t>In December 2010, we entered into an agreement with Altisource to sublease 2,094 square feet of space as our principal executive office in Atlanta, Georgia. Under the terms of the agreement, Ocwen is responsible for monthly base rent of $3 plus a proportionate amount of maintenance costs and other shared services. The sublease is in effect through October 2014.</w:t>
      </w:r>
    </w:p>
    <w:p>
      <w:pPr>
        <w:spacing w:after="0" w:line="20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disclosed in Note 1, Ocwen and Altisource each acquired a 50% equity interest in Correspondent One in March 2011. Correspondent One, which was still in the formation stage as of June 30, 2011, facilitates the purchase of conforming and government-guaranteed residential mortgages from approved mortgage originators and resells the mortgages to secondary market investors. As of June 30, 2011, Ocwen had invested $3,025 in Correspondent One. See Note 23 regarding our additional investment in Correspondent One of $11,975 in July 2011.</w:t>
      </w:r>
    </w:p>
    <w:p>
      <w:pPr>
        <w:spacing w:after="0" w:line="2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8"/>
          <w:szCs w:val="18"/>
          <w:b w:val="1"/>
          <w:bCs w:val="1"/>
          <w:color w:val="auto"/>
        </w:rPr>
        <w:t>REGULATORY REQUIREMENTS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Ocwen is subject to extensive regulation by federal, state and local governmental authorities including the Federal Trade Commission, the SEC, the new Consumer Finance Protection Bureau and the state agencies that license its servicing and collection entities. The Company must comply with a number of federal, state and local consumer protection laws including, among others, the Gramm-Leach-Bliley Act, the Fair Debt Collection Practices Act, the Real Estate Settlement Procedures Act, the Truth in Lending Act, the Fair Credit Reporting Act, the Servicemembers Civil Relief Act and the Homeowners Protection Act. These statutes apply to debt collection,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2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Ocwen is also subject to licensing and regulation as a mortgage service provider and/or debt collector in a number of states. It is subject to audits and examinations that are conducted by the states. From time to time, the Company receives requests from state and other agencies for records, documents and information regarding policies, procedures and practices regarding loan servicing and debt collection business activities.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are a number of foreign regulations that are applicable to Ocwen’s operations in India including acts that govern licensing, employment, safety, taxes, insurance and the basic law which governs the creation, continuation and the winding up of companies as well as the relationships between the shareholders, the Company, the public and the government. The Central Act is applicable to all of India while various state acts may be applicable to certain locations in India.</w:t>
      </w:r>
    </w:p>
    <w:p>
      <w:pPr>
        <w:spacing w:after="0" w:line="21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22</w:t>
      </w:r>
      <w:r>
        <w:rPr>
          <w:sz w:val="20"/>
          <w:szCs w:val="20"/>
          <w:color w:val="auto"/>
        </w:rPr>
        <w:tab/>
      </w:r>
      <w:r>
        <w:rPr>
          <w:rFonts w:ascii="Arial" w:cs="Arial" w:eastAsia="Arial" w:hAnsi="Arial"/>
          <w:sz w:val="18"/>
          <w:szCs w:val="18"/>
          <w:b w:val="1"/>
          <w:bCs w:val="1"/>
          <w:color w:val="auto"/>
        </w:rPr>
        <w:t>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April 2004, we have been included as a defendant in litigation in federal court in Chicago which consolidated certain class actions and individual actions brought by borrowers in various federal and state courts challenging the defendants’ mortgage servicing practices, including charging improper or unnecessary fees, misapplying borrower payments and similar allegations (the MDL Proceeding). We believe the allegations in the MDL Proceeding are without merit and have defended against them vigorously. In the interests of obtaining finality and cost certainty with regard to this complex and protracted litigated matter, however, defendants, including Ocwen, have entered into a definitive written agreement with plaintiffs’ counsel with respect to a class settlement. Ocwen’s portion of the proposed settlement payment is $5,163 plus certain other non-cash consideration and administrative costs. On July 1, 2011, the Court granted final approval to this class settlement. Defendants, including Ocwen, have paid their respective portions of the settlement into escrow and notice of the settlement has been provided to potential class members. The settlement is subject to potential opt outs and/or appeals by individual plaintiffs. In either or both events, we will continue to vigorously defend such matters.</w:t>
      </w:r>
    </w:p>
    <w:p>
      <w:pPr>
        <w:spacing w:after="0" w:line="209"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In September 2006, the Bankruptcy Trustee in Chapter 7 proceedings involving American Business Financial Services, Inc. (ABFS) brought an action against multiple defendants, including Ocwen, in Bankruptcy Court. The action arises out of Debtor-in-Possession financing to ABFS by defendant Greenwich Capital Financial Products, Inc. and the subsequent purchases by Ocwen of MSRs and certain residual interests in mortgage-backed securities previously held by ABFS. The Trustee filed an amended complaint in March 2007 alleging various claims against Ocwen including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April 2008, Ocwen filed an answer denying all charges and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Ocwen are without merit and intend to continue to vigorously defend against this matter.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ind w:right="460" w:firstLine="324"/>
        <w:spacing w:after="0" w:line="277" w:lineRule="auto"/>
        <w:rPr>
          <w:sz w:val="20"/>
          <w:szCs w:val="20"/>
          <w:color w:val="auto"/>
        </w:rPr>
      </w:pPr>
      <w:r>
        <w:rPr>
          <w:rFonts w:ascii="Arial" w:cs="Arial" w:eastAsia="Arial" w:hAnsi="Arial"/>
          <w:sz w:val="18"/>
          <w:szCs w:val="18"/>
          <w:color w:val="auto"/>
        </w:rPr>
        <w:t>We are subject to various other pending legal proceedings. In our opinion, the resolution of those proceedings will not have a material effect on our financial condition,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29"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On December 21, 2009, the India tax authorities issued a draft income tax assessment order (the First Order) with respect to assessment year 2006 – 2007. The proposed adjustment would impose upon OFSPL additional tax of INR 41,760 ($934) and interest of INR 18,297 ($409) for the Assessment Year 2006 – 2007, and penalties may be assessed. OCN and OFSPL intend to vigorously contest this Order and any imposition of tax and interest and do not believe they have violated any statutory provision or rule. OFSPL has filed an application with the Dispute Resolution Panel for the First Order. OFSPL received the final assessment order (the Second Order) on November 24, 2010, with a demand of INR 64,085 ($1,433), reflecting tax of INR 41,712 ($933) and interest of INR 22,373 ($500). In response, OFSPL petitioned for assistance to be provided by the Competent Authority under the Mutual Agreement Procedures of the U.S./India income tax treaty, furnished a Bank Guarantee for INR 76,754 ($1,716) related to transfer pricing matters and paid INR 7,647 ($171) towards non-transfer pricing issues. Furthermore, OFSPL has submitted an appeal of the Second Order to the Income Tax Appellate Tribunal.</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January 4, 2011, OFSPL received a draft assessment order (the Third Order) with respect to assessment year 2007 – 2008. The proposed adjustment would impose upon OFSPL additional tax of INR 63,885 ($1,428) and interest of INR 28,748 ($643). OFSPL has filed an application with the Dispute Resolution Panel for the Third Order. Due to the uncertainties inherent in the Appeals and Competent Authority processes, OCN and OFSPL cannot currently estimate any additional exposure beyond the amount currently detailed in the Orders. We also cannot predict when these tax matters will be resolved. Competent Authority assistance requests under the Mutual Agreement Procedures should preserve OCN’s right to offset any potential increase in India taxes against OCN’s U.S. taxes.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In July 2010, OLS received two subpoenas from the Federal Housing Finance Agency (FHFA) as conservator for Freddie Mac and Fannie Mae in connection with ten private label mortgage securitization transactions where Freddie Mac has invested. The transactions include mortgage loans serviced but not originated by OLS or its affiliates. There is no allegation of wrongdoing in the subpoenas against OLS, and we are cooperating with the FHFA’s requests.</w:t>
      </w:r>
    </w:p>
    <w:p>
      <w:pPr>
        <w:spacing w:after="0" w:line="174"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On November 24, 2010, OLS received a Civil Investigative Demand (CID) from the Federal Trade Commission (FTC) requesting documents and information regarding various servicing activities. There is no allegation of wrongdoing in the CID against OLS, and we are cooperating with the FTC’s request.</w:t>
      </w:r>
    </w:p>
    <w:p>
      <w:pPr>
        <w:spacing w:after="0" w:line="20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Recent inquiries into servicer foreclosure processes could result in actions by state or federal governmental bodies, regulators or the courts that could result in temporary moratoria on mortgage foreclosures or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one of our match funded advance facilities has provisions that limit new borrowings if average foreclosure timelines extend beyond a certain time period, either of which, if such provisions applied, could adversely affect liquidity by reducing our average effective advance rate. In addition, governmental bodies may impose regulatory fines or penalties as a result of our foreclosure processes or impose additional requirements or restrictions on such activities which could increase our operating expenses. Increases in the amount of advances and the length of time to recover advances, fines or increases in operating expenses, and decreases in the advance rate and availability of financing for advances would lead to increased borrowings, reduced cash and higher interest expense which could negatively impact our liquidity and profitability.</w:t>
      </w:r>
    </w:p>
    <w:p>
      <w:pPr>
        <w:spacing w:after="0" w:line="19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Ocwen has been a party to loan sales and securitizations dating back to the 1990s. The majority of securities issued in these transactions have been retired and are not subject to putback risk. There is one remaining securitization with an original UPB of approximately $200,000 where Ocwen provided representations and warranties and the loans were originated in the last decade. Ocwen performed due diligence on each of the loans included in this securitization. The outstanding UPB of this securitization was $54,288 at June 30, 2011, and the outstanding balance of the notes was $54,123. Ocwen is not aware of any inquiries or claims regarding loan putbacks for any transaction where we made representations and warranties. We do not expect loan putbacks to result in any material change to our financial position, operating results or liquidity.</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0" w:name="page31"/>
    <w:bookmarkEnd w:id="30"/>
    <w:p>
      <w:pPr>
        <w:spacing w:after="0"/>
        <w:tabs>
          <w:tab w:leader="none" w:pos="136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July 7, 2011, we invested an additional $11,975 in Correspondent One which increased our total investment to $15,000 and fulfilled our committed funding obligation. Our ownership was reduced below 50% due to investments by certain Lenders One members.</w:t>
      </w: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1" w:name="page32"/>
    <w:bookmarkEnd w:id="31"/>
    <w:p>
      <w:pPr>
        <w:ind w:left="1380" w:hanging="1377"/>
        <w:spacing w:after="0" w:line="282" w:lineRule="auto"/>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Share Data and unless Otherwise Indicated)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following discussion of our results of operations, change in financial condition and liquidity should be read in conjunction with our Interim Consolidated Financial Statements and the related notes, all included elsewhere in this report on Form 10-Q and with our Annual Report on Form 10-K for the year ended December 31, 2010.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Priorities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long-term success of any mortgage servicer is driven primarily by four criteria:</w:t>
      </w:r>
    </w:p>
    <w:p>
      <w:pPr>
        <w:spacing w:after="0" w:line="252" w:lineRule="exact"/>
        <w:rPr>
          <w:sz w:val="20"/>
          <w:szCs w:val="20"/>
          <w:color w:val="auto"/>
        </w:rPr>
      </w:pPr>
    </w:p>
    <w:p>
      <w:pPr>
        <w:ind w:left="1040" w:hanging="573"/>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Access to new servicing business</w:t>
      </w:r>
    </w:p>
    <w:p>
      <w:pPr>
        <w:spacing w:after="0" w:line="23" w:lineRule="exact"/>
        <w:rPr>
          <w:rFonts w:ascii="Arial" w:cs="Arial" w:eastAsia="Arial" w:hAnsi="Arial"/>
          <w:sz w:val="18"/>
          <w:szCs w:val="18"/>
          <w:color w:val="auto"/>
        </w:rPr>
      </w:pPr>
    </w:p>
    <w:p>
      <w:pPr>
        <w:ind w:left="1040" w:hanging="573"/>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Ability to manage delinquencies and advances</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and amount of capital</w:t>
      </w:r>
    </w:p>
    <w:p>
      <w:pPr>
        <w:spacing w:after="0" w:line="23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Ocwen is an established industry leader in cost of servicing and ability to manage delinquencies and advances. While we will continue to pursue improvements in these areas, our plan for 2011 is more heavily focused on access to new servicing business and reducing our cost of capital relative to our peers, both banks and non-banks.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accessing new servicing business, we have a four-pronged strategy:</w:t>
      </w:r>
    </w:p>
    <w:p>
      <w:pPr>
        <w:spacing w:after="0" w:line="252" w:lineRule="exact"/>
        <w:rPr>
          <w:sz w:val="20"/>
          <w:szCs w:val="20"/>
          <w:color w:val="auto"/>
        </w:rPr>
      </w:pPr>
    </w:p>
    <w:p>
      <w:pPr>
        <w:ind w:left="1040" w:hanging="573"/>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Acquisition of existing servicing platforms</w:t>
      </w:r>
    </w:p>
    <w:p>
      <w:pPr>
        <w:spacing w:after="0" w:line="23" w:lineRule="exact"/>
        <w:rPr>
          <w:rFonts w:ascii="Arial" w:cs="Arial" w:eastAsia="Arial" w:hAnsi="Arial"/>
          <w:sz w:val="18"/>
          <w:szCs w:val="18"/>
          <w:color w:val="auto"/>
        </w:rPr>
      </w:pPr>
    </w:p>
    <w:p>
      <w:pPr>
        <w:ind w:left="1040" w:hanging="573"/>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Special servicing opportunities (both residential and commercial)</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Flow servicing</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servicing segments</w:t>
      </w:r>
    </w:p>
    <w:p>
      <w:pPr>
        <w:spacing w:after="0" w:line="238"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As a result of the Litton acquisition, expected to close on September 1, 2011, Ocwen’s servicing UPB is expected to grow by an estimated $39 billion, which is the projected UPB remaining from the March 31, 2011 balance of $41.2 billion. This represents growth of more than 50% and will move Ocwen’s overall servicing portfolio to over $100 billion in UPB. Acquisition of this largely non-prime portfolio will make Ocwen the largest non-prime servicer in the United States. Other non-prime servicing platforms are likely to come to market in the next several months, and we believe that Ocwen can compete effectively for these opportunities, although Ocwen will not necessarily be the winning bidder in all cases. With our highly automated platform, we can quickly scale our servicing capabilities to handle acquired loan portfolios with only modest additions to infrastructure.</w:t>
      </w:r>
    </w:p>
    <w:p>
      <w:pPr>
        <w:spacing w:after="0" w:line="205"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We continue to pursue subservicing transactions, the acquisition of existing servicing portfolios and platforms and special servicing opportunities. We have been able to grow our average residential UPB serviced significantly since the end of 2008 without access to a flow of newly originated business. On flow servicing, we worked with Altisource and its Lenders One business (which generated approximately 6% of new loans originated in the U.S. in 2010) to create a new entity to securitize newly originated loans. In March 2011, Ocwen and Altisource each acquired a 50% equity interest in this new entity, Correspondent One. Our investment of $11,975 in July 2011 fulfilled our $15,000 committed funding obligation to Correspondent One. We believe that this venture can improve the economics for the members of Lenders One and allow Ocwen to compete for servicing rights for newly originated FHA loans. Should proposed changes in the servicing fee structure for Fannie Mae and Freddie Mac loans be implemented, Ocwen may be able to compete for the servicing of an even broader potential flow of new loans.</w:t>
      </w:r>
    </w:p>
    <w:p>
      <w:pPr>
        <w:spacing w:after="0" w:line="206"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We also plan on evaluating and developing capabilities to service new segments of the servicing industry such as reverse mortgages and home equity lines of credit. In addition, we plan to deploy a full on-shore servicing alternative for entities that limit or prohibit offshore activities by their service providers.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our revenue growth initiatives include:</w:t>
      </w:r>
    </w:p>
    <w:p>
      <w:pPr>
        <w:spacing w:after="0" w:line="252" w:lineRule="exact"/>
        <w:rPr>
          <w:sz w:val="20"/>
          <w:szCs w:val="20"/>
          <w:color w:val="auto"/>
        </w:rPr>
      </w:pPr>
    </w:p>
    <w:p>
      <w:pPr>
        <w:ind w:left="1040" w:right="160" w:hanging="573"/>
        <w:spacing w:after="0" w:line="26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March 29, 2010, we entered into a Servicing Rights Purchase and Sale Agreement under which we agreed to purchase from Saxon Mortgage Services, Inc. the rights to service approximately 38,000 mortgage loans with an aggregate UPB of approximately $6.9 billion (the Saxon Acquisition). This acquisition was completed on May 3, 2010.</w:t>
      </w:r>
    </w:p>
    <w:p>
      <w:pPr>
        <w:spacing w:after="0" w:line="181" w:lineRule="exact"/>
        <w:rPr>
          <w:rFonts w:ascii="Arial" w:cs="Arial" w:eastAsia="Arial" w:hAnsi="Arial"/>
          <w:sz w:val="18"/>
          <w:szCs w:val="18"/>
          <w:color w:val="auto"/>
        </w:rPr>
      </w:pPr>
    </w:p>
    <w:p>
      <w:pPr>
        <w:jc w:val="both"/>
        <w:ind w:left="1040" w:right="480" w:hanging="573"/>
        <w:spacing w:after="0" w:line="312"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May 28, 2010, we entered into an Asset Purchase Agreement pursuant to which OLS agreed to acquire the U.S. non-prime mortgage servicing business of Barclays Bank PLC known as “HomEq Servicing.” The HomEq Acquisition closed on September 1, 2010, and we boarded approximately 134,000 residential loans with an aggregate UPB of approximately $22.4 billion onto Ocwen’s platform.</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32" w:name="page33"/>
    <w:bookmarkEnd w:id="32"/>
    <w:p>
      <w:pPr>
        <w:ind w:left="1040" w:right="360" w:hanging="573"/>
        <w:spacing w:after="0" w:line="342"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April 15, 2011, we entered an agreement to subservice approximately 13,000 non-agency mortgage loans with a UPB of approximately $2,900,000. The boarding dates were May 2 and 16, 2011. This agreement provides for reimbursement of servicing advances.</w:t>
      </w:r>
    </w:p>
    <w:p>
      <w:pPr>
        <w:spacing w:after="0" w:line="123" w:lineRule="exact"/>
        <w:rPr>
          <w:rFonts w:ascii="Arial" w:cs="Arial" w:eastAsia="Arial" w:hAnsi="Arial"/>
          <w:sz w:val="16"/>
          <w:szCs w:val="16"/>
          <w:color w:val="auto"/>
        </w:rPr>
      </w:pPr>
    </w:p>
    <w:p>
      <w:pPr>
        <w:ind w:left="1040" w:right="200" w:hanging="573"/>
        <w:spacing w:after="0" w:line="297"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June 5, 2011, we entered into a Purchase Agreement pursuant to which we agreed to acquire all of the outstanding partnership interests of Litton Loan Servicing LP (Litton), a provider of servicing and subservicing of primarily non-prime residential mortgage loans, from The Goldman Sachs Group, Inc. The purchase will result in the acquisition of a servicing portfolio of approximately $41.2 billion in UPB of primarily non-prime residential mortgage loans as of March 31, 2011 and the servicing platform based in Houston, Texas, Dallas, Texas and Atlanta, Georgia. The transaction is expected to close on September 1, 2011. UPB at the time of closing is estimated at $39 billion.</w:t>
      </w:r>
    </w:p>
    <w:p>
      <w:pPr>
        <w:spacing w:after="0" w:line="18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expect to continue in 2011 to roll out new initiatives designed to reduce the cost of servicing and to improve our ability to manage delinquencies and advances. These initiatives will also improve borrower customer service levels, increase loan modifications and reduce re-defaults on loan modifications. We have already rolled out our “Shared Appreciation Modification” in most states which incorporates principal reductions and lower payments for borrowers while still providing some ability for investors to recoup losses if property values increase over time. We also rolled out our “Appointment Model” approach for communicating with our delinquent borrowers which will allow borrowers to schedule a time to review their files with a resolution specialist. By allowing both the borrower and the resolution specialist to prepare for discussions in advance, we believe that the Appointment Model approach is the best way to improve service and provide borrowers with the choice of a single point of contact.</w:t>
      </w:r>
    </w:p>
    <w:p>
      <w:pPr>
        <w:spacing w:after="0" w:line="20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Inquiries into servicer foreclosure practices are continuing and bring the possibility of action by state or federal government bodies, regulators or courts that could have an adverse effect on the average foreclosure timeline and increase asset intensity. Through 2010, the average number of days to complete a foreclosure action extended by 53 days in judicial foreclosure states and 43 days in traditional non-judicial foreclosure states as compared to 2009. In the first half of 2011, foreclosure timelines have increased by an additional 48 days in judicial foreclosure states and 3 days in traditional non-judicial foreclosure states as compared to 2010 averages. Despite this timeline extension, the 90+ non-performing delinquency rate on the Ocwen portfolio as a percentage of UPB has decreased from 27.3% at December 31, 2010 to 24.2% at June 30, 2011. This improvement occurred because fewer loans entered delinquency and because of improved loss mitigation. It is not possible to predict the full financial impact of changes in foreclosure practices, but if the extension of timelines causes delinquency rates to rise, this could lead to a delay in revenue recognition and collections, an increase in operating expenses and an increase in the advance ratio. An increase in the advance ratio would lead to increased borrowings, reduced cash and higher interest expense.</w:t>
      </w:r>
    </w:p>
    <w:p>
      <w:pPr>
        <w:spacing w:after="0" w:line="16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Ocwen is pursuing a strategic opportunity that over time could significantly reduce the amount of capital we require through our relationship with a newly formed entity called Home Loan Servicing Solutions, Ltd. (HLSS). Initially formed by Ocwen’s Chairman, William C. Erbey, HLSS intends to acquire and hold MSRs and related servicing advances in a more efficient manner than is currently feasible for Ocwen. HLSS and Ocwen intend to enter into an agreement pursuant to which HLSS will purchase a substantial portion of the MSRs and related servicing advances (the Acquisition) that Ocwen acquired in connection with the HomEq Acquisition. HLSS will also assume the related match funded liabilities under the HomEq Servicing advance facility.</w:t>
      </w:r>
    </w:p>
    <w:p>
      <w:pPr>
        <w:spacing w:after="0" w:line="15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Ocwen has proposed a change in the structure of the Acquisition. Rather than selling the identified MSRs at the closing of the Acquisition, Ocwen now plans to sell the right to receive the servicing fees, excluding ancillary income, relating to such MSRs (Rights to MSRs). Under this structure, Ocwen would initially retain legal ownership of the MSRs and continue to service the related mortgage loans. Ocwen will be obligated to transfer legal ownership of the MSRs to HLSS once the required third party consents are obtained. The sale of the Rights to MSRs to HLSS would achieve an economic result for Ocwen substantially identical to a sale of the MSRs. All other elements of the Acquisition remain the same in all material respects, and Ocwen believes that this change will not have a material impact on the strategic or financial benefits that Ocwen anticipated it would realize from the Acquisition as originally structured.</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part of the Acquisition, which HLSS intends to finance through proceeds from an initial public offering of its ordinary shares, HLSS plans to engage Ocwen to subservice the MSRs if and when the third party consents required to own the MSRs directly are obtained, and Ocwen will receive a fee for performing this function pursuant to a subservicing agreement. Ocwen may use this cash in any combination to pay down debt, repurchase stock or purchase additional MSRs. Ocwen expects that the reduction in the equity required to run Ocwen’s servicing business will be relatively greater than the reduction in net income, thus improving the return on equity of its servicing business.</w:t>
      </w:r>
    </w:p>
    <w:p>
      <w:pPr>
        <w:spacing w:after="0" w:line="18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HLSS may acquire additional MSRs or rights similar to the Rights to MSRs from Ocwen and enter into related subservicing arrangements with Ocwen in the future. HLSS may also acquire MSRs from third parties which could increase the benefit of this strategy to Ocwen by boosting the size of its subservicing portfolio with little or no capital requirement on the part of Ocwen if HLSS chooses to engage Ocwen as a subservicer on these acquisitions. If HLSS is successful in acquiring all or most of Ocwen’s portfolio of MSRs, Ocwen could evolve over time into a “capital-light” fee-for-service business. Ocwen cannot assure you that it will consummate the sale of MSRs or Rights to MSRs to HLSS, or that HLSS will continue to engage Ocwen as subservicer. Any Rights to MSRs to be acquired in the Acquisition and in any subsequent acquisitions will be subject to customary closing conditions.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Operating Segments</w:t>
      </w:r>
    </w:p>
    <w:p>
      <w:pPr>
        <w:spacing w:after="0" w:line="2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Effective January 1, 2011, with the growth in our Servicing segment and continuing reductions in the Loans and Residuals and Asset Management Vehicles (AMV) segments, we changed our internal management reporting to focus on the Servicing segment and to include the results for Loans and Residuals and AMVs in Corporate Items and Other. Due to a lack of profitable opportunities to acquire assets, we are allowing the assets of the existing asset management vehicles to run off. The Servicing segment, which comprised nearly 100% of total revenues during the first six months of 2011, represents our sole reported business segment following the change in our reporting structure. Segment results for prior periods have been restated to conform to the current segment structure.</w:t>
      </w:r>
    </w:p>
    <w:p>
      <w:pPr>
        <w:spacing w:after="0" w:line="220"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See the Segment Results and Financial Condition section and Note 19 to the Interim Consolidated Financial Statements for additional financial information regarding our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25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HomEq Acquisition has significantly impacted our consolidated operating results. The operating results of the HomEq Servicing business are included in the Servicing segment since the acquisition on September 1, 2010.</w:t>
      </w:r>
    </w:p>
    <w:p>
      <w:pPr>
        <w:spacing w:after="0" w:line="19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three and six months ended June 30, 2011 and 2010. We have provided a more complete discussion of operating results by line of business in the Segment Results and Financial Condition section.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89"/>
              </w:rPr>
              <w:t>Three months</w:t>
            </w:r>
          </w:p>
        </w:tc>
        <w:tc>
          <w:tcPr>
            <w:tcW w:w="1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0"/>
              </w:rPr>
              <w:t>Six months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AF9E8"/>
          </w:tcPr>
          <w:p>
            <w:pPr>
              <w:spacing w:after="0"/>
              <w:rPr>
                <w:sz w:val="20"/>
                <w:szCs w:val="20"/>
                <w:color w:val="auto"/>
              </w:rPr>
            </w:pPr>
            <w:r>
              <w:rPr>
                <w:rFonts w:ascii="Arial" w:cs="Arial" w:eastAsia="Arial" w:hAnsi="Arial"/>
                <w:sz w:val="18"/>
                <w:szCs w:val="18"/>
                <w:color w:val="auto"/>
              </w:rPr>
              <w:t>Consolidated:</w:t>
            </w: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Revenue</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105,837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75,953</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216,843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151,539</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42,254</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44,658</w:t>
            </w:r>
          </w:p>
        </w:tc>
        <w:tc>
          <w:tcPr>
            <w:tcW w:w="126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(5)</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83,453</w:t>
            </w:r>
          </w:p>
        </w:tc>
        <w:tc>
          <w:tcPr>
            <w:tcW w:w="14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79,835</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63,583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31,295</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133,390</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71,704</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(22,547)</w:t>
            </w:r>
          </w:p>
        </w:tc>
        <w:tc>
          <w:tcPr>
            <w:tcW w:w="10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(18,033)</w:t>
            </w:r>
          </w:p>
        </w:tc>
        <w:tc>
          <w:tcPr>
            <w:tcW w:w="1260" w:type="dxa"/>
            <w:vAlign w:val="bottom"/>
            <w:shd w:val="clear" w:color="auto" w:fill="EAF9E8"/>
          </w:tcPr>
          <w:p>
            <w:pPr>
              <w:jc w:val="right"/>
              <w:ind w:right="37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(57,865)</w:t>
            </w:r>
          </w:p>
        </w:tc>
        <w:tc>
          <w:tcPr>
            <w:tcW w:w="14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(26,997)</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13,262</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75,525</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44,707</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14,653</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(2,777)</w:t>
            </w:r>
          </w:p>
        </w:tc>
        <w:tc>
          <w:tcPr>
            <w:tcW w:w="1260" w:type="dxa"/>
            <w:vAlign w:val="bottom"/>
            <w:shd w:val="clear" w:color="auto" w:fill="EAF9E8"/>
          </w:tcPr>
          <w:p>
            <w:pPr>
              <w:jc w:val="right"/>
              <w:ind w:right="310"/>
              <w:spacing w:after="0"/>
              <w:rPr>
                <w:sz w:val="20"/>
                <w:szCs w:val="20"/>
                <w:color w:val="auto"/>
              </w:rPr>
            </w:pPr>
            <w:r>
              <w:rPr>
                <w:rFonts w:ascii="Arial" w:cs="Arial" w:eastAsia="Arial" w:hAnsi="Arial"/>
                <w:sz w:val="18"/>
                <w:szCs w:val="18"/>
                <w:color w:val="auto"/>
              </w:rPr>
              <w:t>(628)</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27,078</w:t>
            </w:r>
          </w:p>
        </w:tc>
        <w:tc>
          <w:tcPr>
            <w:tcW w:w="14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7,797</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16,039</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48,447</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36,910</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w w:val="95"/>
              </w:rPr>
              <w:t>Net income (loss) attributable to</w:t>
            </w:r>
          </w:p>
        </w:tc>
        <w:tc>
          <w:tcPr>
            <w:tcW w:w="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non-controlling interest in</w:t>
            </w: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subsidiaries</w:t>
            </w:r>
          </w:p>
        </w:tc>
        <w:tc>
          <w:tcPr>
            <w:tcW w:w="12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EAF9E8"/>
          </w:tcPr>
          <w:p>
            <w:pPr>
              <w:spacing w:after="0"/>
              <w:rPr>
                <w:sz w:val="20"/>
                <w:szCs w:val="20"/>
                <w:color w:val="auto"/>
              </w:rPr>
            </w:pPr>
          </w:p>
        </w:tc>
        <w:tc>
          <w:tcPr>
            <w:tcW w:w="14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w:t>
            </w:r>
          </w:p>
        </w:tc>
        <w:tc>
          <w:tcPr>
            <w:tcW w:w="1260" w:type="dxa"/>
            <w:vAlign w:val="bottom"/>
            <w:shd w:val="clear" w:color="auto" w:fill="EAF9E8"/>
          </w:tcPr>
          <w:p>
            <w:pPr>
              <w:jc w:val="right"/>
              <w:ind w:right="37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EAF9E8"/>
          </w:tcPr>
          <w:p>
            <w:pPr>
              <w:spacing w:after="0"/>
              <w:rPr>
                <w:sz w:val="20"/>
                <w:szCs w:val="20"/>
                <w:color w:val="auto"/>
              </w:rPr>
            </w:pP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(12)</w:t>
            </w:r>
          </w:p>
        </w:tc>
        <w:tc>
          <w:tcPr>
            <w:tcW w:w="124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Borders>
              <w:top w:val="single" w:sz="8" w:color="EAF9E8"/>
            </w:tcBorders>
          </w:tcPr>
          <w:p>
            <w:pPr>
              <w:ind w:left="160"/>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tcBorders>
              <w:top w:val="single" w:sz="8" w:color="EAF9E8"/>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Borders>
              <w:top w:val="single" w:sz="8" w:color="EAF9E8"/>
            </w:tcBorders>
          </w:tcPr>
          <w:p>
            <w:pPr>
              <w:spacing w:after="0"/>
              <w:rPr>
                <w:sz w:val="17"/>
                <w:szCs w:val="17"/>
                <w:color w:val="auto"/>
              </w:rPr>
            </w:pPr>
          </w:p>
        </w:tc>
        <w:tc>
          <w:tcPr>
            <w:tcW w:w="1260" w:type="dxa"/>
            <w:vAlign w:val="bottom"/>
            <w:tcBorders>
              <w:top w:val="single" w:sz="8" w:color="EAF9E8"/>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124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320"/>
              <w:spacing w:after="0"/>
              <w:rPr>
                <w:sz w:val="20"/>
                <w:szCs w:val="20"/>
                <w:color w:val="auto"/>
              </w:rPr>
            </w:pPr>
            <w:r>
              <w:rPr>
                <w:rFonts w:ascii="Arial" w:cs="Arial" w:eastAsia="Arial" w:hAnsi="Arial"/>
                <w:sz w:val="18"/>
                <w:szCs w:val="18"/>
                <w:color w:val="auto"/>
              </w:rPr>
              <w:t>Ocwen</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26,378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16,038</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64</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48,452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36,898</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00" w:type="dxa"/>
            <w:vAlign w:val="bottom"/>
          </w:tcPr>
          <w:p>
            <w:pPr>
              <w:spacing w:after="0" w:line="201" w:lineRule="exact"/>
              <w:rPr>
                <w:sz w:val="20"/>
                <w:szCs w:val="20"/>
                <w:color w:val="auto"/>
              </w:rPr>
            </w:pPr>
            <w:r>
              <w:rPr>
                <w:rFonts w:ascii="Arial" w:cs="Arial" w:eastAsia="Arial" w:hAnsi="Arial"/>
                <w:sz w:val="18"/>
                <w:szCs w:val="18"/>
                <w:color w:val="auto"/>
              </w:rPr>
              <w:t>Segment income (loss) before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w:t>
            </w:r>
          </w:p>
        </w:tc>
        <w:tc>
          <w:tcPr>
            <w:tcW w:w="38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42,891</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21,425</w:t>
            </w:r>
          </w:p>
        </w:tc>
        <w:tc>
          <w:tcPr>
            <w:tcW w:w="126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rPr>
              <w:t>100%</w:t>
            </w: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77,671</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53,931</w:t>
            </w:r>
          </w:p>
        </w:tc>
        <w:tc>
          <w:tcPr>
            <w:tcW w:w="124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Corporate Items and Other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(8,163)</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(2,146)</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(9,224)</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6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41,036</w:t>
            </w:r>
          </w:p>
        </w:tc>
        <w:tc>
          <w:tcPr>
            <w:tcW w:w="340" w:type="dxa"/>
            <w:vAlign w:val="bottom"/>
            <w:shd w:val="clear" w:color="auto" w:fill="EAF9E8"/>
          </w:tcPr>
          <w:p>
            <w:pPr>
              <w:spacing w:after="0"/>
              <w:rPr>
                <w:sz w:val="20"/>
                <w:szCs w:val="20"/>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13,262</w:t>
            </w:r>
          </w:p>
        </w:tc>
        <w:tc>
          <w:tcPr>
            <w:tcW w:w="1260" w:type="dxa"/>
            <w:vAlign w:val="bottom"/>
            <w:shd w:val="clear" w:color="auto" w:fill="EAF9E8"/>
          </w:tcPr>
          <w:p>
            <w:pPr>
              <w:jc w:val="right"/>
              <w:ind w:right="370"/>
              <w:spacing w:after="0"/>
              <w:rPr>
                <w:sz w:val="20"/>
                <w:szCs w:val="20"/>
                <w:color w:val="auto"/>
              </w:rPr>
            </w:pPr>
            <w:r>
              <w:rPr>
                <w:rFonts w:ascii="Arial" w:cs="Arial" w:eastAsia="Arial" w:hAnsi="Arial"/>
                <w:sz w:val="18"/>
                <w:szCs w:val="18"/>
                <w:color w:val="auto"/>
              </w:rPr>
              <w:t>209</w:t>
            </w: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75,525</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44,707</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26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124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60" w:firstLine="486"/>
        <w:spacing w:after="0" w:line="266" w:lineRule="auto"/>
        <w:rPr>
          <w:sz w:val="20"/>
          <w:szCs w:val="20"/>
          <w:color w:val="auto"/>
        </w:rPr>
      </w:pPr>
      <w:r>
        <w:rPr>
          <w:rFonts w:ascii="Arial" w:cs="Arial" w:eastAsia="Arial" w:hAnsi="Arial"/>
          <w:sz w:val="18"/>
          <w:szCs w:val="18"/>
          <w:b w:val="1"/>
          <w:bCs w:val="1"/>
          <w:color w:val="auto"/>
        </w:rPr>
        <w:t xml:space="preserve">Three Months Ended June 2011 versus June 2010. </w:t>
      </w:r>
      <w:r>
        <w:rPr>
          <w:rFonts w:ascii="Arial" w:cs="Arial" w:eastAsia="Arial" w:hAnsi="Arial"/>
          <w:sz w:val="18"/>
          <w:szCs w:val="18"/>
          <w:color w:val="auto"/>
        </w:rPr>
        <w:t>Residential servicing fees were higher than the second quarter of 2010 as a result of loan</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modifications and growth in the Servicing portfolio that included approximately $22.4 billion acquired on September 1, 2010 related to the HomEq Acquisition and $6.9 billion added by the Saxon Acquisition completed on May 3, 2010.</w:t>
      </w:r>
    </w:p>
    <w:p>
      <w:pPr>
        <w:spacing w:after="0" w:line="207" w:lineRule="exact"/>
        <w:rPr>
          <w:sz w:val="20"/>
          <w:szCs w:val="20"/>
          <w:color w:val="auto"/>
        </w:rPr>
      </w:pPr>
    </w:p>
    <w:p>
      <w:pPr>
        <w:ind w:right="120" w:firstLine="486"/>
        <w:spacing w:after="0" w:line="276" w:lineRule="auto"/>
        <w:rPr>
          <w:sz w:val="20"/>
          <w:szCs w:val="20"/>
          <w:color w:val="auto"/>
        </w:rPr>
      </w:pPr>
      <w:r>
        <w:rPr>
          <w:rFonts w:ascii="Arial" w:cs="Arial" w:eastAsia="Arial" w:hAnsi="Arial"/>
          <w:sz w:val="17"/>
          <w:szCs w:val="17"/>
          <w:color w:val="auto"/>
        </w:rPr>
        <w:t>Operating expenses for the second quarter of 2011 declined principally because of a decline in professional services as a result of the $5,163 litigation accrual established in the second quarter of 2010 in connection with the settlement of the MDL Proceeding and $1,250 of professional fees incurred in the second quarter of 2010 in connection with the HomEq Acquisition. These declines were substantially offset by the effects in 2011 of the HomEq and Saxon servicing acquisitions that resulted in higher amortization of MSRs and a substantial increase in staffing to service the larger portfolio. Income from operations increased by $32,288, or 103%, in the three months ended June 30, 2011 as compared to 2010.</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jc w:val="both"/>
        <w:ind w:right="20" w:firstLine="486"/>
        <w:spacing w:after="0" w:line="264" w:lineRule="auto"/>
        <w:rPr>
          <w:sz w:val="20"/>
          <w:szCs w:val="20"/>
          <w:color w:val="auto"/>
        </w:rPr>
      </w:pPr>
      <w:r>
        <w:rPr>
          <w:rFonts w:ascii="Arial" w:cs="Arial" w:eastAsia="Arial" w:hAnsi="Arial"/>
          <w:sz w:val="18"/>
          <w:szCs w:val="18"/>
          <w:color w:val="auto"/>
        </w:rPr>
        <w:t>Other expense, net increased by $4,514 primarily due to $10,918 of interest expense on borrowings related to the HomEq Acquisition. The increase in interest expense was partly offset by the $3,000 write-off of our investment in a real estate partnership and $1,650 of realized losses on the sale of auction rate securities, both in the second quarter of 2010.</w:t>
      </w:r>
    </w:p>
    <w:p>
      <w:pPr>
        <w:spacing w:after="0" w:line="204" w:lineRule="exact"/>
        <w:rPr>
          <w:sz w:val="20"/>
          <w:szCs w:val="20"/>
          <w:color w:val="auto"/>
        </w:rPr>
      </w:pPr>
    </w:p>
    <w:p>
      <w:pPr>
        <w:ind w:right="800" w:firstLine="486"/>
        <w:spacing w:after="0" w:line="282" w:lineRule="auto"/>
        <w:rPr>
          <w:sz w:val="20"/>
          <w:szCs w:val="20"/>
          <w:color w:val="auto"/>
        </w:rPr>
      </w:pPr>
      <w:r>
        <w:rPr>
          <w:rFonts w:ascii="Arial" w:cs="Arial" w:eastAsia="Arial" w:hAnsi="Arial"/>
          <w:sz w:val="18"/>
          <w:szCs w:val="18"/>
          <w:b w:val="1"/>
          <w:bCs w:val="1"/>
          <w:color w:val="auto"/>
        </w:rPr>
        <w:t xml:space="preserve">Six Months Ended June 2011 versus June 2010. </w:t>
      </w:r>
      <w:r>
        <w:rPr>
          <w:rFonts w:ascii="Arial" w:cs="Arial" w:eastAsia="Arial" w:hAnsi="Arial"/>
          <w:sz w:val="18"/>
          <w:szCs w:val="18"/>
          <w:color w:val="auto"/>
        </w:rPr>
        <w:t>Residential servicing fees were higher than the first six months of 2010 as a result of loan</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modifications and growth in the Servicing portfolio.</w:t>
      </w:r>
    </w:p>
    <w:p>
      <w:pPr>
        <w:spacing w:after="0" w:line="193" w:lineRule="exact"/>
        <w:rPr>
          <w:sz w:val="20"/>
          <w:szCs w:val="20"/>
          <w:color w:val="auto"/>
        </w:rPr>
      </w:pPr>
    </w:p>
    <w:p>
      <w:pPr>
        <w:ind w:right="220" w:firstLine="486"/>
        <w:spacing w:after="0" w:line="312" w:lineRule="auto"/>
        <w:rPr>
          <w:sz w:val="20"/>
          <w:szCs w:val="20"/>
          <w:color w:val="auto"/>
        </w:rPr>
      </w:pPr>
      <w:r>
        <w:rPr>
          <w:rFonts w:ascii="Arial" w:cs="Arial" w:eastAsia="Arial" w:hAnsi="Arial"/>
          <w:sz w:val="16"/>
          <w:szCs w:val="16"/>
          <w:color w:val="auto"/>
        </w:rPr>
        <w:t>Operating expenses for the first six months of 2011 increased principally because of the HomEq and Saxon servicing acquisitions that resulted in higher amortization of MSRs and a substantial increase in staffing to service the larger portfolio. Partially offsetting these increases was a decline in professional services expense discussed above. Income from operations increased by $61,686, or 86%, in the first six months of 2011 as compared to 2010.</w:t>
      </w:r>
    </w:p>
    <w:p>
      <w:pPr>
        <w:spacing w:after="0" w:line="17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Other expense, net increased by $30,868 primarily due to $36,332 of interest expense on borrowings related to the HomEq Acquisition offset in part by unrealized losses on auction rate securities and the write-off of a commercial real estate investment in 2010 as discussed above. Interest expense for the first six months of 2011 includes the write-off of $12,575 of unamortized discount and deferred debt issuance costs as the result of the prepayment of $180,000 on the $350,000 senior secured term loan, primarily during the second quarter. These write-offs were partially offset by a $6,291 reduction in interest expense on the senior secured term loan as a result of the prepayments.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Financial Condition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overall decrease in assets of $632,660 or 22% during the first six months of 2011 was principally the result of the following changes:</w:t>
      </w:r>
    </w:p>
    <w:p>
      <w:pPr>
        <w:spacing w:after="0" w:line="252" w:lineRule="exact"/>
        <w:rPr>
          <w:sz w:val="20"/>
          <w:szCs w:val="20"/>
          <w:color w:val="auto"/>
        </w:rPr>
      </w:pPr>
    </w:p>
    <w:p>
      <w:pPr>
        <w:ind w:left="1040" w:hanging="573"/>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decreased by $23,629.</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advances declined by $519,988 due primarily to a reduction in advances acquired in connection with the HomEq Acquisition.</w:t>
      </w:r>
    </w:p>
    <w:p>
      <w:pPr>
        <w:spacing w:after="0" w:line="225" w:lineRule="exact"/>
        <w:rPr>
          <w:rFonts w:ascii="Arial" w:cs="Arial" w:eastAsia="Arial" w:hAnsi="Arial"/>
          <w:sz w:val="18"/>
          <w:szCs w:val="18"/>
          <w:color w:val="auto"/>
        </w:rPr>
      </w:pPr>
    </w:p>
    <w:p>
      <w:pPr>
        <w:ind w:left="1040" w:right="300" w:hanging="573"/>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MSRs decreased by $18,394 due primarily to amortization expense of $19,095. We did not purchase any servicing assets during the first six months of 2011.</w:t>
      </w:r>
    </w:p>
    <w:p>
      <w:pPr>
        <w:spacing w:after="0" w:line="170" w:lineRule="exact"/>
        <w:rPr>
          <w:rFonts w:ascii="Arial" w:cs="Arial" w:eastAsia="Arial" w:hAnsi="Arial"/>
          <w:sz w:val="18"/>
          <w:szCs w:val="18"/>
          <w:color w:val="auto"/>
        </w:rPr>
      </w:pPr>
    </w:p>
    <w:p>
      <w:pPr>
        <w:ind w:left="1040" w:hanging="573"/>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Receivables declined by $16,452 due primarily to declines in amounts to be recovered from custodial accounts of trustees.</w:t>
      </w:r>
    </w:p>
    <w:p>
      <w:pPr>
        <w:spacing w:after="0" w:line="225" w:lineRule="exact"/>
        <w:rPr>
          <w:rFonts w:ascii="Arial" w:cs="Arial" w:eastAsia="Arial" w:hAnsi="Arial"/>
          <w:sz w:val="18"/>
          <w:szCs w:val="18"/>
          <w:color w:val="auto"/>
        </w:rPr>
      </w:pPr>
    </w:p>
    <w:p>
      <w:pPr>
        <w:ind w:left="1040" w:hanging="573"/>
        <w:spacing w:after="0" w:line="259"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assets declined by $47,383 primarily as a result of a $32,578 decrease in debt service accounts and a $10,724 decrease in debt issuance costs mostly related to prepayment of our senior secured term loan incurred in connection with the HomEq Acquisition. We wrote-off $7,603 of debt issuance costs to interest expense, including $7,187 during the first quarter, as a result of the prepayment of $180,000 on the $350,000 senior secured term loan.</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Liabilities declined by $683,669 or 34%, primarily because of the following items:</w:t>
      </w:r>
    </w:p>
    <w:p>
      <w:pPr>
        <w:spacing w:after="0" w:line="252" w:lineRule="exact"/>
        <w:rPr>
          <w:sz w:val="20"/>
          <w:szCs w:val="20"/>
          <w:color w:val="auto"/>
        </w:rPr>
      </w:pPr>
    </w:p>
    <w:p>
      <w:pPr>
        <w:ind w:left="1040" w:hanging="573"/>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Match funded liabilities decreased by $440,531 because of repayments as total advances declined.</w:t>
      </w:r>
    </w:p>
    <w:p>
      <w:pPr>
        <w:spacing w:after="0" w:line="225" w:lineRule="exact"/>
        <w:rPr>
          <w:rFonts w:ascii="Arial" w:cs="Arial" w:eastAsia="Arial" w:hAnsi="Arial"/>
          <w:sz w:val="18"/>
          <w:szCs w:val="18"/>
          <w:color w:val="auto"/>
        </w:rPr>
      </w:pPr>
    </w:p>
    <w:p>
      <w:pPr>
        <w:ind w:left="1040" w:right="60" w:hanging="573"/>
        <w:spacing w:after="0" w:line="259"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Lines of credit and other secured borrowings declined by $204,615 primarily due to principal repayments of $197,500 related to the $350,000 senior secured term loan facility that we entered into in connection with HomEq Acquisition, including the prepayment of $180,000 mentioned above. These prepayments resulted in the write-off of $4,972 of the related discount to interest expense including $4,699 during the first quarter.</w:t>
      </w:r>
    </w:p>
    <w:p>
      <w:pPr>
        <w:spacing w:after="0" w:line="186" w:lineRule="exact"/>
        <w:rPr>
          <w:rFonts w:ascii="Arial" w:cs="Arial" w:eastAsia="Arial" w:hAnsi="Arial"/>
          <w:sz w:val="18"/>
          <w:szCs w:val="18"/>
          <w:color w:val="auto"/>
        </w:rPr>
      </w:pPr>
    </w:p>
    <w:p>
      <w:pPr>
        <w:jc w:val="both"/>
        <w:ind w:left="1040" w:right="720" w:hanging="573"/>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liabilities declined by $34,087 principally because of a decline in litigation reserves related to a settlement payment in one legal proceeding and a judgment payment in another case. Also, other liabilities due to investors in connection with loans we service under subservicing agreements declined in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Summary</w:t>
      </w:r>
    </w:p>
    <w:p>
      <w:pPr>
        <w:spacing w:after="0" w:line="22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We define liquidity as unencumbered cash balances plus unused, collateralized advance financing capacity. Our liquidity as of June 30, 2011, by this definition, was $205,737, a decrease of $51,154, or 20%, from December 31, 2010. At June 30, 2011, our cash position was $104,167 compared to $127,796 at December 31, 2010. In addition, our available credit on collateralized but unused advance financing capacity declined to $101,570 at June 30 2011 compared to $129,095 at December 31, 2010. The decline in available credit was principally the result of our success reducing advances from December 31, 2010 which resulted in a lower amount of advances pledged to our advance financing facilities.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color w:val="auto"/>
        </w:rPr>
        <w:t>Our investment policies emphasize principal preservation by limiting investments to include:</w:t>
      </w:r>
    </w:p>
    <w:p>
      <w:pPr>
        <w:spacing w:after="0" w:line="252" w:lineRule="exact"/>
        <w:rPr>
          <w:sz w:val="20"/>
          <w:szCs w:val="20"/>
          <w:color w:val="auto"/>
        </w:rPr>
      </w:pPr>
    </w:p>
    <w:p>
      <w:pPr>
        <w:ind w:left="1040" w:hanging="573"/>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government-sponsored enterprise</w:t>
      </w:r>
    </w:p>
    <w:p>
      <w:pPr>
        <w:spacing w:after="0" w:line="23" w:lineRule="exact"/>
        <w:rPr>
          <w:rFonts w:ascii="Arial" w:cs="Arial" w:eastAsia="Arial" w:hAnsi="Arial"/>
          <w:sz w:val="18"/>
          <w:szCs w:val="18"/>
          <w:color w:val="auto"/>
        </w:rPr>
      </w:pPr>
    </w:p>
    <w:p>
      <w:pPr>
        <w:ind w:left="1040" w:hanging="573"/>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Demand deposit accounts</w:t>
      </w:r>
    </w:p>
    <w:p>
      <w:pPr>
        <w:spacing w:after="0" w:line="23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regularly monitor and project cash flow to minimize liquidity risk. In assessing our liquidity outlook, our primary focus is on maintaining cash and unused borrowing capacity that is sufficient to meet the needs of the business.</w:t>
      </w:r>
    </w:p>
    <w:p>
      <w:pPr>
        <w:spacing w:after="0" w:line="19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June 30, 2011, $648,988 of our total maximum borrowing capacity remained unused. However, as noted above, the amount of collateral pledged to these facilities limits additional borrowing, and only $101,570 of this amount is readily available. We may utilize the unused borrowing capacity in the Servicing business in the future by pledging additional qualifying collateral to these facilities. In order to reduce interest expense, we are reducing unused borrowing capacity to a level that we consider prudent relative to the current levels of advances and match funded advances and to meet our funding needs for reasonably foreseeable changes in advances.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Summary</w:t>
      </w:r>
    </w:p>
    <w:p>
      <w:pPr>
        <w:spacing w:after="0" w:line="25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our interest-earning assets.</w:t>
      </w:r>
    </w:p>
    <w:p>
      <w:pPr>
        <w:spacing w:after="0" w:line="20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executed a hedging strategy aimed at largely neutralizing the impact of changes in interest rates within a certain period based on the projected excess of interest rate sensitive liabilities over assets. As of June 30, 2011, the value of our outstanding hedges somewhat exceeded the net exposure of projected interest rate sensitive liabilities and interest rate sensitive assets for the next several years due to a faster than expected reduction in advances and in our match funded liabilities. Future variances between the projected excess of interest rate sensitive liabilities over assets and actual results could result in our becoming over-hedged or under-hedged. See Note 15 to our Interim Consolidated Financial Statements for additional information regarding our use of derivatives.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ability to measure and report our operating results and financial position is heavily influenced by the need to estimate the impact or outcome of future events. Our critical accounting policies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32 through 35 of Management’s Discussion and Analysis of Results of Operations and Financial Condition and in Note 1 to our Consolidated Financial Statements for the year ended December 31, 2010 included in our Annual Report on Form 10-K filed February 28, 2011. Such policies have not changed during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AND FINANCIAL CONDITION</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the Servicing segment and for Corporate Items and Other, the following section provides a discussion of the changes in financial condition during the six months ended June 30, 2011 and a discussion of pre-tax results of operations for the three and six months ended June 30, 2011 and 2010. Our former Loans and Residuals segment and Asset Management Vehicles segment are included in Corporate Items and Other effective January 1, 2011. Segment results for the 2010 periods have been restated to conform to the current segment structure.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Servicing</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8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880" w:type="dxa"/>
            <w:vAlign w:val="bottom"/>
            <w:gridSpan w:val="14"/>
          </w:tcPr>
          <w:p>
            <w:pPr>
              <w:jc w:val="right"/>
              <w:ind w:right="180"/>
              <w:spacing w:after="0"/>
              <w:rPr>
                <w:sz w:val="20"/>
                <w:szCs w:val="20"/>
                <w:color w:val="auto"/>
              </w:rPr>
            </w:pPr>
            <w:r>
              <w:rPr>
                <w:rFonts w:ascii="Arial" w:cs="Arial" w:eastAsia="Arial" w:hAnsi="Arial"/>
                <w:sz w:val="18"/>
                <w:szCs w:val="18"/>
                <w:color w:val="auto"/>
                <w:w w:val="94"/>
              </w:rPr>
              <w:t>The following table presents selected results of operations of our Servicing segment for the three and six months ended June 30:</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Three months</w:t>
            </w:r>
          </w:p>
        </w:tc>
        <w:tc>
          <w:tcPr>
            <w:tcW w:w="9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Six months</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Residential</w:t>
            </w:r>
          </w:p>
        </w:tc>
        <w:tc>
          <w:tcPr>
            <w:tcW w:w="6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94,633</w:t>
            </w:r>
          </w:p>
        </w:tc>
        <w:tc>
          <w:tcPr>
            <w:tcW w:w="5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65,539</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196,570</w:t>
            </w:r>
          </w:p>
        </w:tc>
        <w:tc>
          <w:tcPr>
            <w:tcW w:w="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2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1,460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2,319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3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96,093</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66,297</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198,889</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Process management fees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9,140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16,936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1,160</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EAF9E8"/>
          </w:tcPr>
          <w:p>
            <w:pPr>
              <w:spacing w:after="0"/>
              <w:rPr>
                <w:sz w:val="2"/>
                <w:szCs w:val="2"/>
                <w:color w:val="auto"/>
              </w:rPr>
            </w:pPr>
          </w:p>
        </w:tc>
        <w:tc>
          <w:tcPr>
            <w:tcW w:w="388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ind w:left="32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105,493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75,759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216,362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3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10,147</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7,939</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20,108</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Amortization of servicing rights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9,926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18,849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Servicing and origination</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1,268</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2,235</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3,164</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Technology and communications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5,341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10,618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1,759</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7,416</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3,853</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3,569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6,927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Other operating expenses</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8,789</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8,198</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17,062</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15,345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EAF9E8"/>
          </w:tcPr>
          <w:p>
            <w:pPr>
              <w:spacing w:after="0"/>
              <w:rPr>
                <w:sz w:val="2"/>
                <w:szCs w:val="2"/>
                <w:color w:val="auto"/>
              </w:rPr>
            </w:pPr>
          </w:p>
        </w:tc>
        <w:tc>
          <w:tcPr>
            <w:tcW w:w="388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40,799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41,241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80,581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3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64,694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34,518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135,781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3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6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4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(21,751)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(13,017)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(59,252)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Gain (loss) on debt redemption</w:t>
            </w:r>
          </w:p>
        </w:tc>
        <w:tc>
          <w:tcPr>
            <w:tcW w:w="3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1,246</w:t>
            </w:r>
          </w:p>
        </w:tc>
        <w:tc>
          <w:tcPr>
            <w:tcW w:w="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other expense, net</w:t>
            </w:r>
          </w:p>
        </w:tc>
        <w:tc>
          <w:tcPr>
            <w:tcW w:w="3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(21,803)</w:t>
            </w:r>
          </w:p>
        </w:tc>
        <w:tc>
          <w:tcPr>
            <w:tcW w:w="2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(13,093)</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(58,110)</w:t>
            </w:r>
          </w:p>
        </w:tc>
        <w:tc>
          <w:tcPr>
            <w:tcW w:w="16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(25,253)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EAF9E8"/>
            </w:tcBorders>
          </w:tcPr>
          <w:p>
            <w:pPr>
              <w:spacing w:after="0"/>
              <w:rPr>
                <w:sz w:val="18"/>
                <w:szCs w:val="18"/>
                <w:color w:val="auto"/>
              </w:rPr>
            </w:pPr>
          </w:p>
        </w:tc>
        <w:tc>
          <w:tcPr>
            <w:tcW w:w="3880" w:type="dxa"/>
            <w:vAlign w:val="bottom"/>
            <w:tcBorders>
              <w:top w:val="single" w:sz="8" w:color="EAF9E8"/>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8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w w:val="94"/>
              </w:rPr>
              <w:t>Income from continuing operations before income taxes</w:t>
            </w:r>
          </w:p>
        </w:tc>
        <w:tc>
          <w:tcPr>
            <w:tcW w:w="6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42,891</w:t>
            </w:r>
          </w:p>
        </w:tc>
        <w:tc>
          <w:tcPr>
            <w:tcW w:w="5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21,425</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77,671</w:t>
            </w:r>
          </w:p>
        </w:tc>
        <w:tc>
          <w:tcPr>
            <w:tcW w:w="5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EAF9E8"/>
            </w:tcBorders>
            <w:shd w:val="clear" w:color="auto" w:fill="EAF9E8"/>
          </w:tcPr>
          <w:p>
            <w:pPr>
              <w:spacing w:after="0" w:line="20" w:lineRule="exact"/>
              <w:rPr>
                <w:sz w:val="1"/>
                <w:szCs w:val="1"/>
                <w:color w:val="auto"/>
              </w:rPr>
            </w:pPr>
          </w:p>
        </w:tc>
        <w:tc>
          <w:tcPr>
            <w:tcW w:w="388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selected operating statistics at or for the three and six months ended June 30: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6"/>
              </w:rPr>
              <w:t>Three Months</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3"/>
              </w:rPr>
              <w:t>Six Months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Residential Assets Serviced</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Performing loans (1)</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w w:val="99"/>
              </w:rPr>
              <w:t>51,789,077</w:t>
            </w: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39,096,968</w:t>
            </w:r>
          </w:p>
        </w:tc>
        <w:tc>
          <w:tcPr>
            <w:tcW w:w="140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32%</w:t>
            </w:r>
          </w:p>
        </w:tc>
        <w:tc>
          <w:tcPr>
            <w:tcW w:w="4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w w:val="99"/>
              </w:rPr>
              <w:t>51,789,077</w:t>
            </w:r>
          </w:p>
        </w:tc>
        <w:tc>
          <w:tcPr>
            <w:tcW w:w="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39,096,968</w:t>
            </w:r>
          </w:p>
        </w:tc>
        <w:tc>
          <w:tcPr>
            <w:tcW w:w="124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Non-performing loans</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13,127,811</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11,935,175</w:t>
            </w:r>
          </w:p>
        </w:tc>
        <w:tc>
          <w:tcPr>
            <w:tcW w:w="1400" w:type="dxa"/>
            <w:vAlign w:val="bottom"/>
            <w:gridSpan w:val="2"/>
          </w:tcPr>
          <w:p>
            <w:pPr>
              <w:jc w:val="right"/>
              <w:ind w:right="35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13,127,811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11,935,175</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 real estate</w:t>
            </w:r>
          </w:p>
        </w:tc>
        <w:tc>
          <w:tcPr>
            <w:tcW w:w="220" w:type="dxa"/>
            <w:vAlign w:val="bottom"/>
            <w:shd w:val="clear" w:color="auto" w:fill="EAF9E8"/>
          </w:tcPr>
          <w:p>
            <w:pPr>
              <w:spacing w:after="0"/>
              <w:rPr>
                <w:sz w:val="19"/>
                <w:szCs w:val="19"/>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5,913,679</w:t>
            </w:r>
          </w:p>
        </w:tc>
        <w:tc>
          <w:tcPr>
            <w:tcW w:w="3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4,212,433</w:t>
            </w:r>
          </w:p>
        </w:tc>
        <w:tc>
          <w:tcPr>
            <w:tcW w:w="1400" w:type="dxa"/>
            <w:vAlign w:val="bottom"/>
            <w:gridSpan w:val="2"/>
            <w:shd w:val="clear" w:color="auto" w:fill="EAF9E8"/>
          </w:tcPr>
          <w:p>
            <w:pPr>
              <w:jc w:val="right"/>
              <w:ind w:right="35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5,913,679</w:t>
            </w: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4,212,433</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Borders>
              <w:top w:val="single" w:sz="8" w:color="EAF9E8"/>
            </w:tcBorders>
          </w:tcPr>
          <w:p>
            <w:pPr>
              <w:ind w:left="320"/>
              <w:spacing w:after="0" w:line="201" w:lineRule="exact"/>
              <w:rPr>
                <w:sz w:val="20"/>
                <w:szCs w:val="20"/>
                <w:color w:val="auto"/>
              </w:rPr>
            </w:pPr>
            <w:r>
              <w:rPr>
                <w:rFonts w:ascii="Arial" w:cs="Arial" w:eastAsia="Arial" w:hAnsi="Arial"/>
                <w:sz w:val="18"/>
                <w:szCs w:val="18"/>
                <w:color w:val="auto"/>
              </w:rPr>
              <w:t>Total residential assets</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8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1240" w:type="dxa"/>
            <w:vAlign w:val="bottom"/>
            <w:tcBorders>
              <w:top w:val="single" w:sz="8" w:color="EAF9E8"/>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EAF9E8"/>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80" w:type="dxa"/>
            <w:vAlign w:val="bottom"/>
            <w:tcBorders>
              <w:top w:val="single" w:sz="8" w:color="EAF9E8"/>
            </w:tcBorders>
          </w:tcPr>
          <w:p>
            <w:pPr>
              <w:spacing w:after="0"/>
              <w:rPr>
                <w:sz w:val="17"/>
                <w:szCs w:val="17"/>
                <w:color w:val="auto"/>
              </w:rPr>
            </w:pPr>
          </w:p>
        </w:tc>
        <w:tc>
          <w:tcPr>
            <w:tcW w:w="124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480"/>
              <w:spacing w:after="0"/>
              <w:rPr>
                <w:sz w:val="20"/>
                <w:szCs w:val="20"/>
                <w:color w:val="auto"/>
              </w:rPr>
            </w:pPr>
            <w:r>
              <w:rPr>
                <w:rFonts w:ascii="Arial" w:cs="Arial" w:eastAsia="Arial" w:hAnsi="Arial"/>
                <w:sz w:val="18"/>
                <w:szCs w:val="18"/>
                <w:color w:val="auto"/>
              </w:rPr>
              <w:t>serviced (2)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70,830,567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55,244,576</w:t>
            </w:r>
          </w:p>
        </w:tc>
        <w:tc>
          <w:tcPr>
            <w:tcW w:w="1400" w:type="dxa"/>
            <w:vAlign w:val="bottom"/>
            <w:gridSpan w:val="2"/>
          </w:tcPr>
          <w:p>
            <w:pPr>
              <w:jc w:val="right"/>
              <w:ind w:right="350"/>
              <w:spacing w:after="0"/>
              <w:rPr>
                <w:sz w:val="20"/>
                <w:szCs w:val="20"/>
                <w:color w:val="auto"/>
              </w:rPr>
            </w:pPr>
            <w:r>
              <w:rPr>
                <w:rFonts w:ascii="Arial" w:cs="Arial" w:eastAsia="Arial" w:hAnsi="Arial"/>
                <w:sz w:val="18"/>
                <w:szCs w:val="18"/>
                <w:color w:val="auto"/>
              </w:rPr>
              <w:t>28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70,830,567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55,244,576</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160"/>
              <w:spacing w:after="0" w:line="201" w:lineRule="exact"/>
              <w:rPr>
                <w:sz w:val="20"/>
                <w:szCs w:val="20"/>
                <w:color w:val="auto"/>
              </w:rPr>
            </w:pPr>
            <w:r>
              <w:rPr>
                <w:rFonts w:ascii="Arial" w:cs="Arial" w:eastAsia="Arial" w:hAnsi="Arial"/>
                <w:sz w:val="18"/>
                <w:szCs w:val="18"/>
                <w:color w:val="auto"/>
              </w:rPr>
              <w:t>Average residential assets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320"/>
              <w:spacing w:after="0"/>
              <w:rPr>
                <w:sz w:val="20"/>
                <w:szCs w:val="20"/>
                <w:color w:val="auto"/>
              </w:rPr>
            </w:pPr>
            <w:r>
              <w:rPr>
                <w:rFonts w:ascii="Arial" w:cs="Arial" w:eastAsia="Arial" w:hAnsi="Arial"/>
                <w:sz w:val="18"/>
                <w:szCs w:val="18"/>
                <w:color w:val="auto"/>
              </w:rPr>
              <w:t>serviced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70,705,981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53,892,135</w:t>
            </w:r>
          </w:p>
        </w:tc>
        <w:tc>
          <w:tcPr>
            <w:tcW w:w="1400" w:type="dxa"/>
            <w:vAlign w:val="bottom"/>
            <w:gridSpan w:val="2"/>
          </w:tcPr>
          <w:p>
            <w:pPr>
              <w:jc w:val="right"/>
              <w:ind w:right="350"/>
              <w:spacing w:after="0"/>
              <w:rPr>
                <w:sz w:val="20"/>
                <w:szCs w:val="20"/>
                <w:color w:val="auto"/>
              </w:rPr>
            </w:pPr>
            <w:r>
              <w:rPr>
                <w:rFonts w:ascii="Arial" w:cs="Arial" w:eastAsia="Arial" w:hAnsi="Arial"/>
                <w:sz w:val="18"/>
                <w:szCs w:val="18"/>
                <w:color w:val="auto"/>
              </w:rPr>
              <w:t>31</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71,564,209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52,235,809</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4"/>
              </w:rPr>
              <w:t>Prepayment speed (average CPR)</w:t>
            </w: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1400" w:type="dxa"/>
            <w:vAlign w:val="bottom"/>
            <w:gridSpan w:val="2"/>
          </w:tcPr>
          <w:p>
            <w:pPr>
              <w:jc w:val="right"/>
              <w:ind w:right="35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Percent of total UPB:</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portfolio</w:t>
            </w:r>
          </w:p>
        </w:tc>
        <w:tc>
          <w:tcPr>
            <w:tcW w:w="22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58.1%</w:t>
            </w:r>
          </w:p>
        </w:tc>
        <w:tc>
          <w:tcPr>
            <w:tcW w:w="1400" w:type="dxa"/>
            <w:vAlign w:val="bottom"/>
            <w:gridSpan w:val="2"/>
            <w:shd w:val="clear" w:color="auto" w:fill="EAF9E8"/>
          </w:tcPr>
          <w:p>
            <w:pPr>
              <w:jc w:val="right"/>
              <w:ind w:right="21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58.1%</w:t>
            </w:r>
          </w:p>
        </w:tc>
        <w:tc>
          <w:tcPr>
            <w:tcW w:w="124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Subservicing portfolio</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1400" w:type="dxa"/>
            <w:vAlign w:val="bottom"/>
            <w:gridSpan w:val="2"/>
          </w:tcPr>
          <w:p>
            <w:pPr>
              <w:jc w:val="right"/>
              <w:ind w:right="29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41.9</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Non-performing residential</w:t>
            </w:r>
          </w:p>
        </w:tc>
        <w:tc>
          <w:tcPr>
            <w:tcW w:w="22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assets serviced, excluding</w:t>
            </w: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Freddie Mac (3)</w:t>
            </w:r>
          </w:p>
        </w:tc>
        <w:tc>
          <w:tcPr>
            <w:tcW w:w="22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26.2%</w:t>
            </w:r>
          </w:p>
        </w:tc>
        <w:tc>
          <w:tcPr>
            <w:tcW w:w="1400" w:type="dxa"/>
            <w:vAlign w:val="bottom"/>
            <w:gridSpan w:val="2"/>
            <w:shd w:val="clear" w:color="auto" w:fill="EAF9E8"/>
          </w:tcPr>
          <w:p>
            <w:pPr>
              <w:jc w:val="right"/>
              <w:ind w:right="290"/>
              <w:spacing w:after="0"/>
              <w:rPr>
                <w:sz w:val="20"/>
                <w:szCs w:val="20"/>
                <w:color w:val="auto"/>
              </w:rPr>
            </w:pPr>
            <w:r>
              <w:rPr>
                <w:rFonts w:ascii="Arial" w:cs="Arial" w:eastAsia="Arial" w:hAnsi="Arial"/>
                <w:sz w:val="18"/>
                <w:szCs w:val="18"/>
                <w:color w:val="auto"/>
              </w:rPr>
              <w:t>(8)</w:t>
            </w:r>
          </w:p>
        </w:tc>
        <w:tc>
          <w:tcPr>
            <w:tcW w:w="2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3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26.2%</w:t>
            </w:r>
          </w:p>
        </w:tc>
        <w:tc>
          <w:tcPr>
            <w:tcW w:w="124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105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1"/>
              </w:rPr>
              <w:t>Three Months</w:t>
            </w: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7"/>
              </w:rPr>
              <w:t>Six Months</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AF9E8"/>
          </w:tcPr>
          <w:p>
            <w:pPr>
              <w:spacing w:after="0"/>
              <w:rPr>
                <w:sz w:val="20"/>
                <w:szCs w:val="20"/>
                <w:color w:val="auto"/>
              </w:rPr>
            </w:pPr>
            <w:r>
              <w:rPr>
                <w:rFonts w:ascii="Arial" w:cs="Arial" w:eastAsia="Arial" w:hAnsi="Arial"/>
                <w:sz w:val="18"/>
                <w:szCs w:val="18"/>
                <w:color w:val="auto"/>
              </w:rPr>
              <w:t>Number of:</w:t>
            </w:r>
          </w:p>
        </w:tc>
        <w:tc>
          <w:tcPr>
            <w:tcW w:w="2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Performing loans (1)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366,425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290,656</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366,425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290,656</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Non-performing loans</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65,516</w:t>
            </w:r>
          </w:p>
        </w:tc>
        <w:tc>
          <w:tcPr>
            <w:tcW w:w="12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62,073</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6</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65,516</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62,073</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Non-performing real estate</w:t>
            </w:r>
          </w:p>
        </w:tc>
        <w:tc>
          <w:tcPr>
            <w:tcW w:w="26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30,193</w:t>
            </w:r>
          </w:p>
        </w:tc>
        <w:tc>
          <w:tcPr>
            <w:tcW w:w="12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21,222</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30,193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21,222</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EAF9E8"/>
          </w:tcPr>
          <w:p>
            <w:pPr>
              <w:ind w:left="320"/>
              <w:spacing w:after="0" w:line="201" w:lineRule="exact"/>
              <w:rPr>
                <w:sz w:val="20"/>
                <w:szCs w:val="20"/>
                <w:color w:val="auto"/>
              </w:rPr>
            </w:pPr>
            <w:r>
              <w:rPr>
                <w:rFonts w:ascii="Arial" w:cs="Arial" w:eastAsia="Arial" w:hAnsi="Arial"/>
                <w:sz w:val="18"/>
                <w:szCs w:val="18"/>
                <w:color w:val="auto"/>
              </w:rPr>
              <w:t>Total number of residential</w:t>
            </w:r>
          </w:p>
        </w:tc>
        <w:tc>
          <w:tcPr>
            <w:tcW w:w="260" w:type="dxa"/>
            <w:vAlign w:val="bottom"/>
            <w:tcBorders>
              <w:top w:val="single" w:sz="8" w:color="auto"/>
            </w:tcBorders>
            <w:shd w:val="clear" w:color="auto" w:fill="EAF9E8"/>
          </w:tcPr>
          <w:p>
            <w:pPr>
              <w:spacing w:after="0"/>
              <w:rPr>
                <w:sz w:val="17"/>
                <w:szCs w:val="17"/>
                <w:color w:val="auto"/>
              </w:rPr>
            </w:pPr>
          </w:p>
        </w:tc>
        <w:tc>
          <w:tcPr>
            <w:tcW w:w="880" w:type="dxa"/>
            <w:vAlign w:val="bottom"/>
            <w:tcBorders>
              <w:top w:val="single" w:sz="8" w:color="auto"/>
            </w:tcBorders>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1020" w:type="dxa"/>
            <w:vAlign w:val="bottom"/>
            <w:tcBorders>
              <w:top w:val="single" w:sz="8" w:color="auto"/>
            </w:tcBorders>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40" w:type="dxa"/>
            <w:vAlign w:val="bottom"/>
            <w:tcBorders>
              <w:top w:val="single" w:sz="8" w:color="auto"/>
            </w:tcBorders>
            <w:shd w:val="clear" w:color="auto" w:fill="EAF9E8"/>
          </w:tcPr>
          <w:p>
            <w:pPr>
              <w:spacing w:after="0"/>
              <w:rPr>
                <w:sz w:val="17"/>
                <w:szCs w:val="17"/>
                <w:color w:val="auto"/>
              </w:rPr>
            </w:pPr>
          </w:p>
        </w:tc>
        <w:tc>
          <w:tcPr>
            <w:tcW w:w="880" w:type="dxa"/>
            <w:vAlign w:val="bottom"/>
            <w:tcBorders>
              <w:top w:val="single" w:sz="8" w:color="auto"/>
            </w:tcBorders>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tcBorders>
              <w:top w:val="single" w:sz="8" w:color="auto"/>
            </w:tcBorders>
            <w:shd w:val="clear" w:color="auto" w:fill="EAF9E8"/>
          </w:tcPr>
          <w:p>
            <w:pPr>
              <w:spacing w:after="0"/>
              <w:rPr>
                <w:sz w:val="17"/>
                <w:szCs w:val="17"/>
                <w:color w:val="auto"/>
              </w:rPr>
            </w:pPr>
          </w:p>
        </w:tc>
        <w:tc>
          <w:tcPr>
            <w:tcW w:w="980" w:type="dxa"/>
            <w:vAlign w:val="bottom"/>
            <w:tcBorders>
              <w:top w:val="single" w:sz="8" w:color="auto"/>
            </w:tcBorders>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640" w:type="dxa"/>
            <w:vAlign w:val="bottom"/>
            <w:shd w:val="clear" w:color="auto" w:fill="EAF9E8"/>
          </w:tcPr>
          <w:p>
            <w:pPr>
              <w:ind w:left="480"/>
              <w:spacing w:after="0"/>
              <w:rPr>
                <w:sz w:val="20"/>
                <w:szCs w:val="20"/>
                <w:color w:val="auto"/>
              </w:rPr>
            </w:pPr>
            <w:r>
              <w:rPr>
                <w:rFonts w:ascii="Arial" w:cs="Arial" w:eastAsia="Arial" w:hAnsi="Arial"/>
                <w:sz w:val="18"/>
                <w:szCs w:val="18"/>
                <w:color w:val="auto"/>
              </w:rPr>
              <w:t>assets serviced (2)</w:t>
            </w:r>
          </w:p>
        </w:tc>
        <w:tc>
          <w:tcPr>
            <w:tcW w:w="260" w:type="dxa"/>
            <w:vAlign w:val="bottom"/>
            <w:shd w:val="clear" w:color="auto" w:fill="EAF9E8"/>
          </w:tcPr>
          <w:p>
            <w:pPr>
              <w:spacing w:after="0"/>
              <w:rPr>
                <w:sz w:val="23"/>
                <w:szCs w:val="23"/>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462,134</w:t>
            </w:r>
          </w:p>
        </w:tc>
        <w:tc>
          <w:tcPr>
            <w:tcW w:w="3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373,951</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462,134</w:t>
            </w:r>
          </w:p>
        </w:tc>
        <w:tc>
          <w:tcPr>
            <w:tcW w:w="10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373,951</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124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124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Average number of residential</w:t>
            </w:r>
          </w:p>
        </w:tc>
        <w:tc>
          <w:tcPr>
            <w:tcW w:w="2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assets serviced</w:t>
            </w:r>
          </w:p>
        </w:tc>
        <w:tc>
          <w:tcPr>
            <w:tcW w:w="260" w:type="dxa"/>
            <w:vAlign w:val="bottom"/>
            <w:shd w:val="clear" w:color="auto" w:fill="EAF9E8"/>
          </w:tcPr>
          <w:p>
            <w:pPr>
              <w:spacing w:after="0"/>
              <w:rPr>
                <w:sz w:val="20"/>
                <w:szCs w:val="20"/>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462,343</w:t>
            </w:r>
          </w:p>
        </w:tc>
        <w:tc>
          <w:tcPr>
            <w:tcW w:w="3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368,390</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466,948</w:t>
            </w:r>
          </w:p>
        </w:tc>
        <w:tc>
          <w:tcPr>
            <w:tcW w:w="1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360,883</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Percent of total number: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Servicing portfolio</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58.4%</w:t>
            </w:r>
          </w:p>
        </w:tc>
        <w:tc>
          <w:tcPr>
            <w:tcW w:w="124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58.4%</w:t>
            </w:r>
          </w:p>
        </w:tc>
        <w:tc>
          <w:tcPr>
            <w:tcW w:w="124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Subservicing portfolio</w:t>
            </w:r>
          </w:p>
        </w:tc>
        <w:tc>
          <w:tcPr>
            <w:tcW w:w="26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41.6</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41.6</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Non-performing residential</w:t>
            </w:r>
          </w:p>
        </w:tc>
        <w:tc>
          <w:tcPr>
            <w:tcW w:w="2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assets serviced, excluding</w:t>
            </w:r>
          </w:p>
        </w:tc>
        <w:tc>
          <w:tcPr>
            <w:tcW w:w="2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Freddie Mac (3)</w:t>
            </w:r>
          </w:p>
        </w:tc>
        <w:tc>
          <w:tcPr>
            <w:tcW w:w="26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19.1%</w:t>
            </w:r>
          </w:p>
        </w:tc>
        <w:tc>
          <w:tcPr>
            <w:tcW w:w="124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rPr>
              <w:t>(7)</w:t>
            </w:r>
          </w:p>
        </w:tc>
        <w:tc>
          <w:tcPr>
            <w:tcW w:w="2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19.1%</w:t>
            </w:r>
          </w:p>
        </w:tc>
        <w:tc>
          <w:tcPr>
            <w:tcW w:w="124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40" w:type="dxa"/>
            <w:vAlign w:val="bottom"/>
            <w:shd w:val="clear" w:color="auto" w:fill="EAF9E8"/>
          </w:tcPr>
          <w:p>
            <w:pPr>
              <w:spacing w:after="0" w:line="198" w:lineRule="exact"/>
              <w:rPr>
                <w:sz w:val="20"/>
                <w:szCs w:val="20"/>
                <w:color w:val="auto"/>
              </w:rPr>
            </w:pPr>
            <w:r>
              <w:rPr>
                <w:rFonts w:ascii="Arial" w:cs="Arial" w:eastAsia="Arial" w:hAnsi="Arial"/>
                <w:sz w:val="18"/>
                <w:szCs w:val="18"/>
                <w:b w:val="1"/>
                <w:bCs w:val="1"/>
                <w:color w:val="auto"/>
              </w:rPr>
              <w:t>Residential Servicing and</w:t>
            </w:r>
          </w:p>
        </w:tc>
        <w:tc>
          <w:tcPr>
            <w:tcW w:w="2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4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Subservicing Fees</w:t>
            </w:r>
          </w:p>
        </w:tc>
        <w:tc>
          <w:tcPr>
            <w:tcW w:w="260" w:type="dxa"/>
            <w:vAlign w:val="bottom"/>
            <w:shd w:val="clear" w:color="auto" w:fill="EAF9E8"/>
          </w:tcPr>
          <w:p>
            <w:pPr>
              <w:spacing w:after="0"/>
              <w:rPr>
                <w:sz w:val="20"/>
                <w:szCs w:val="20"/>
                <w:color w:val="auto"/>
              </w:rPr>
            </w:pPr>
          </w:p>
        </w:tc>
        <w:tc>
          <w:tcPr>
            <w:tcW w:w="88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2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88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98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24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320"/>
              <w:spacing w:after="0" w:line="201" w:lineRule="exact"/>
              <w:rPr>
                <w:sz w:val="20"/>
                <w:szCs w:val="20"/>
                <w:color w:val="auto"/>
              </w:rPr>
            </w:pPr>
            <w:r>
              <w:rPr>
                <w:rFonts w:ascii="Arial" w:cs="Arial" w:eastAsia="Arial" w:hAnsi="Arial"/>
                <w:sz w:val="18"/>
                <w:szCs w:val="18"/>
                <w:color w:val="auto"/>
              </w:rPr>
              <w:t>Loan servicing and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480"/>
              <w:spacing w:after="0"/>
              <w:rPr>
                <w:sz w:val="20"/>
                <w:szCs w:val="20"/>
                <w:color w:val="auto"/>
              </w:rPr>
            </w:pPr>
            <w:r>
              <w:rPr>
                <w:rFonts w:ascii="Arial" w:cs="Arial" w:eastAsia="Arial" w:hAnsi="Arial"/>
                <w:sz w:val="18"/>
                <w:szCs w:val="18"/>
                <w:color w:val="auto"/>
              </w:rPr>
              <w:t>subservicing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71,941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47,223</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52%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149,043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93,092</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HAMP fees</w:t>
            </w:r>
          </w:p>
        </w:tc>
        <w:tc>
          <w:tcPr>
            <w:tcW w:w="26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8,654</w:t>
            </w: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4,585</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17,292</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11,038</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320"/>
              <w:spacing w:after="0"/>
              <w:rPr>
                <w:sz w:val="20"/>
                <w:szCs w:val="20"/>
                <w:color w:val="auto"/>
              </w:rPr>
            </w:pPr>
            <w:r>
              <w:rPr>
                <w:rFonts w:ascii="Arial" w:cs="Arial" w:eastAsia="Arial" w:hAnsi="Arial"/>
                <w:sz w:val="18"/>
                <w:szCs w:val="18"/>
                <w:color w:val="auto"/>
              </w:rPr>
              <w:t>Late charges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6,691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7,235</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15,235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15,411</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Loan collection fees</w:t>
            </w:r>
          </w:p>
        </w:tc>
        <w:tc>
          <w:tcPr>
            <w:tcW w:w="26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2,363</w:t>
            </w: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2,113</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4,917</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4,256</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320"/>
              <w:spacing w:after="0" w:line="201" w:lineRule="exact"/>
              <w:rPr>
                <w:sz w:val="20"/>
                <w:szCs w:val="20"/>
                <w:color w:val="auto"/>
              </w:rPr>
            </w:pPr>
            <w:r>
              <w:rPr>
                <w:rFonts w:ascii="Arial" w:cs="Arial" w:eastAsia="Arial" w:hAnsi="Arial"/>
                <w:sz w:val="18"/>
                <w:szCs w:val="18"/>
                <w:color w:val="auto"/>
              </w:rPr>
              <w:t>Custodial accounts (float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480"/>
              <w:spacing w:after="0"/>
              <w:rPr>
                <w:sz w:val="20"/>
                <w:szCs w:val="20"/>
                <w:color w:val="auto"/>
              </w:rPr>
            </w:pPr>
            <w:r>
              <w:rPr>
                <w:rFonts w:ascii="Arial" w:cs="Arial" w:eastAsia="Arial" w:hAnsi="Arial"/>
                <w:sz w:val="18"/>
                <w:szCs w:val="18"/>
                <w:color w:val="auto"/>
              </w:rPr>
              <w:t>earnings)</w:t>
            </w:r>
          </w:p>
        </w:tc>
        <w:tc>
          <w:tcPr>
            <w:tcW w:w="26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960</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1,448</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4,451</w:t>
            </w: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3,423</w:t>
            </w: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9,011</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6,649</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94,633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65,539</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44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196,570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131,894</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Financing Costs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Average balance of advances</w:t>
            </w:r>
          </w:p>
        </w:tc>
        <w:tc>
          <w:tcPr>
            <w:tcW w:w="2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and match funded advances</w:t>
            </w: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1,665,228</w:t>
            </w:r>
          </w:p>
        </w:tc>
        <w:tc>
          <w:tcPr>
            <w:tcW w:w="380" w:type="dxa"/>
            <w:vAlign w:val="bottom"/>
            <w:shd w:val="clear" w:color="auto" w:fill="EAF9E8"/>
          </w:tcPr>
          <w:p>
            <w:pPr>
              <w:spacing w:after="0"/>
              <w:rPr>
                <w:sz w:val="20"/>
                <w:szCs w:val="20"/>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1,223,836</w:t>
            </w:r>
          </w:p>
        </w:tc>
        <w:tc>
          <w:tcPr>
            <w:tcW w:w="124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rPr>
              <w:t>36%</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1,789,526</w:t>
            </w:r>
          </w:p>
        </w:tc>
        <w:tc>
          <w:tcPr>
            <w:tcW w:w="2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1,066,332</w:t>
            </w:r>
          </w:p>
        </w:tc>
        <w:tc>
          <w:tcPr>
            <w:tcW w:w="124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Average borrowings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1,135,084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785,903</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1,279,734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660,860</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w w:val="97"/>
              </w:rPr>
              <w:t>Interest expense on borrowings</w:t>
            </w:r>
          </w:p>
        </w:tc>
        <w:tc>
          <w:tcPr>
            <w:tcW w:w="2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EAF9E8"/>
          </w:tcPr>
          <w:p>
            <w:pPr>
              <w:spacing w:after="0"/>
              <w:rPr>
                <w:sz w:val="20"/>
                <w:szCs w:val="20"/>
                <w:color w:val="auto"/>
              </w:rPr>
            </w:pPr>
          </w:p>
        </w:tc>
        <w:tc>
          <w:tcPr>
            <w:tcW w:w="12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20,156</w:t>
            </w:r>
          </w:p>
        </w:tc>
        <w:tc>
          <w:tcPr>
            <w:tcW w:w="12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12,043</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56,105</w:t>
            </w:r>
          </w:p>
        </w:tc>
        <w:tc>
          <w:tcPr>
            <w:tcW w:w="1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22,942</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160"/>
              <w:spacing w:after="0" w:line="201" w:lineRule="exact"/>
              <w:rPr>
                <w:sz w:val="20"/>
                <w:szCs w:val="20"/>
                <w:color w:val="auto"/>
              </w:rPr>
            </w:pPr>
            <w:r>
              <w:rPr>
                <w:rFonts w:ascii="Arial" w:cs="Arial" w:eastAsia="Arial" w:hAnsi="Arial"/>
                <w:sz w:val="18"/>
                <w:szCs w:val="18"/>
                <w:color w:val="auto"/>
              </w:rPr>
              <w:t>Facility costs included in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320"/>
              <w:spacing w:after="0"/>
              <w:rPr>
                <w:sz w:val="20"/>
                <w:szCs w:val="20"/>
                <w:color w:val="auto"/>
              </w:rPr>
            </w:pPr>
            <w:r>
              <w:rPr>
                <w:rFonts w:ascii="Arial" w:cs="Arial" w:eastAsia="Arial" w:hAnsi="Arial"/>
                <w:sz w:val="18"/>
                <w:szCs w:val="18"/>
                <w:color w:val="auto"/>
              </w:rPr>
              <w:t>interest expense (4)</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4,461</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4,598</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16,094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9,810</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Discount amortization included</w:t>
            </w:r>
          </w:p>
        </w:tc>
        <w:tc>
          <w:tcPr>
            <w:tcW w:w="26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in interest expense (4)</w:t>
            </w:r>
          </w:p>
        </w:tc>
        <w:tc>
          <w:tcPr>
            <w:tcW w:w="260" w:type="dxa"/>
            <w:vAlign w:val="bottom"/>
            <w:shd w:val="clear" w:color="auto" w:fill="EAF9E8"/>
          </w:tcPr>
          <w:p>
            <w:pPr>
              <w:spacing w:after="0"/>
              <w:rPr>
                <w:sz w:val="20"/>
                <w:szCs w:val="20"/>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1,297</w:t>
            </w:r>
          </w:p>
        </w:tc>
        <w:tc>
          <w:tcPr>
            <w:tcW w:w="3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958</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7,343</w:t>
            </w:r>
          </w:p>
        </w:tc>
        <w:tc>
          <w:tcPr>
            <w:tcW w:w="1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2,104</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160"/>
              <w:spacing w:after="0" w:line="201" w:lineRule="exact"/>
              <w:rPr>
                <w:sz w:val="20"/>
                <w:szCs w:val="20"/>
                <w:color w:val="auto"/>
              </w:rPr>
            </w:pPr>
            <w:r>
              <w:rPr>
                <w:rFonts w:ascii="Arial" w:cs="Arial" w:eastAsia="Arial" w:hAnsi="Arial"/>
                <w:sz w:val="18"/>
                <w:szCs w:val="18"/>
                <w:color w:val="auto"/>
              </w:rPr>
              <w:t>Effective average interest rate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3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6.13%</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6.94%</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Average 1-month LIBOR</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0.31%</w:t>
            </w:r>
          </w:p>
        </w:tc>
        <w:tc>
          <w:tcPr>
            <w:tcW w:w="124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0.27%</w:t>
            </w:r>
          </w:p>
        </w:tc>
        <w:tc>
          <w:tcPr>
            <w:tcW w:w="124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Average Employment</w:t>
            </w:r>
          </w:p>
        </w:tc>
        <w:tc>
          <w:tcPr>
            <w:tcW w:w="2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India and other</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1,554</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1,452</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219</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9</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226</w:t>
            </w:r>
          </w:p>
        </w:tc>
        <w:tc>
          <w:tcPr>
            <w:tcW w:w="124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1,773</w:t>
            </w:r>
          </w:p>
        </w:tc>
        <w:tc>
          <w:tcPr>
            <w:tcW w:w="38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1,678</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40" w:type="dxa"/>
            <w:vAlign w:val="bottom"/>
          </w:tcPr>
          <w:p>
            <w:pPr>
              <w:spacing w:after="0" w:line="198" w:lineRule="exact"/>
              <w:rPr>
                <w:sz w:val="20"/>
                <w:szCs w:val="20"/>
                <w:color w:val="auto"/>
              </w:rPr>
            </w:pPr>
            <w:r>
              <w:rPr>
                <w:rFonts w:ascii="Arial" w:cs="Arial" w:eastAsia="Arial" w:hAnsi="Arial"/>
                <w:sz w:val="18"/>
                <w:szCs w:val="18"/>
                <w:b w:val="1"/>
                <w:bCs w:val="1"/>
                <w:color w:val="auto"/>
              </w:rPr>
              <w:t>Collections on loans serviced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40" w:type="dxa"/>
            <w:vAlign w:val="bottom"/>
          </w:tcPr>
          <w:p>
            <w:pPr>
              <w:ind w:left="160"/>
              <w:spacing w:after="0"/>
              <w:rPr>
                <w:sz w:val="20"/>
                <w:szCs w:val="20"/>
                <w:color w:val="auto"/>
              </w:rPr>
            </w:pPr>
            <w:r>
              <w:rPr>
                <w:rFonts w:ascii="Arial" w:cs="Arial" w:eastAsia="Arial" w:hAnsi="Arial"/>
                <w:sz w:val="18"/>
                <w:szCs w:val="18"/>
                <w:b w:val="1"/>
                <w:bCs w:val="1"/>
                <w:color w:val="auto"/>
              </w:rPr>
              <w:t>for others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1,472,935</w:t>
            </w:r>
          </w:p>
        </w:tc>
        <w:tc>
          <w:tcPr>
            <w:tcW w:w="3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1,191,802</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24%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2,986,987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2,353,679</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80" w:right="160" w:hanging="572"/>
        <w:spacing w:after="0" w:line="264"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or have been delinquent for less than 90 days in accordance with their original terms and those loans for which borrowers are making scheduled payments under loan modification, forbearance or bankruptcy plans. We consider all other loans to be non-performing.</w:t>
      </w:r>
    </w:p>
    <w:p>
      <w:pPr>
        <w:spacing w:after="0" w:line="181" w:lineRule="exact"/>
        <w:rPr>
          <w:rFonts w:ascii="Arial" w:cs="Arial" w:eastAsia="Arial" w:hAnsi="Arial"/>
          <w:sz w:val="18"/>
          <w:szCs w:val="18"/>
          <w:color w:val="auto"/>
        </w:rPr>
      </w:pPr>
    </w:p>
    <w:p>
      <w:pPr>
        <w:jc w:val="both"/>
        <w:ind w:left="580" w:right="20" w:hanging="572"/>
        <w:spacing w:after="0" w:line="264"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Subprime loans represents the largest category, or strata, of residential loans we service. At June 20, 2011, we serviced 350,633 subprime loans with a UPB of $54,897,375. This compares to 360,317 subprime loans with a UPB of $56,530,714 at December 31, 2010 and 261,518 subprime loans with a UPB of $39,712,429 at June 30, 2010.</w:t>
      </w:r>
    </w:p>
    <w:p>
      <w:pPr>
        <w:spacing w:after="0" w:line="181" w:lineRule="exact"/>
        <w:rPr>
          <w:rFonts w:ascii="Arial" w:cs="Arial" w:eastAsia="Arial" w:hAnsi="Arial"/>
          <w:sz w:val="18"/>
          <w:szCs w:val="18"/>
          <w:color w:val="auto"/>
        </w:rPr>
      </w:pPr>
    </w:p>
    <w:p>
      <w:pPr>
        <w:ind w:left="580" w:right="200" w:hanging="572"/>
        <w:spacing w:after="0" w:line="342"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Excluding the HomEq and Saxon portfolios acquired in 2010, the UPB and number of non-performing residential assets serviced as a percentage of the total portfolio were 23.9% and 17.1%, respectively, at June 30, 2011. This compares to 25.5% and 18.7%, respectively, at December 31, 2010.</w:t>
      </w:r>
    </w:p>
    <w:p>
      <w:pPr>
        <w:spacing w:after="0" w:line="123" w:lineRule="exact"/>
        <w:rPr>
          <w:rFonts w:ascii="Arial" w:cs="Arial" w:eastAsia="Arial" w:hAnsi="Arial"/>
          <w:sz w:val="16"/>
          <w:szCs w:val="16"/>
          <w:color w:val="auto"/>
        </w:rPr>
      </w:pPr>
    </w:p>
    <w:p>
      <w:pPr>
        <w:ind w:left="580" w:hanging="572"/>
        <w:spacing w:after="0" w:line="255"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first six months of 2011, we repaid the $197,500 balance outstanding under the $350,000 senior secured term loan. The repayments included $180,000 of prepayments in addition to the mandatory quarterly repayments of $17,500. These prepayments resulted in a write-off to interest expense amounting to $4,972 of debt discount and $7,603 of deferred debt issuance costs. Excluding these additional costs, the effective annual interest rate would have been 6.80% for the first six months of 2011. This rate declined from 2010, principally because of a decline in facility costs charged on certain facilities and an increase in average borrowings relative to facility costs which resulted in a significant decline in the proportion of interest expense represented by the amortization of facility costs.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Amount of UPB</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rPr>
              <w:t>Count</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beginning of the year</w:t>
            </w: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73,886,391</w:t>
            </w:r>
          </w:p>
        </w:tc>
        <w:tc>
          <w:tcPr>
            <w:tcW w:w="6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w w:val="93"/>
              </w:rPr>
              <w:t>49,980,077</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479,165</w:t>
            </w:r>
          </w:p>
        </w:tc>
        <w:tc>
          <w:tcPr>
            <w:tcW w:w="2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222,872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1,372,733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1,233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Runoff</w:t>
            </w:r>
          </w:p>
        </w:tc>
        <w:tc>
          <w:tcPr>
            <w:tcW w:w="9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(3,566,302)</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7"/>
              </w:rPr>
              <w:t>(1,674,811)</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(18,211)</w:t>
            </w:r>
          </w:p>
        </w:tc>
        <w:tc>
          <w:tcPr>
            <w:tcW w:w="2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(11,813)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shd w:val="clear" w:color="auto" w:fill="EAF9E8"/>
          </w:tcPr>
          <w:p>
            <w:pPr>
              <w:spacing w:after="0"/>
              <w:rPr>
                <w:sz w:val="2"/>
                <w:szCs w:val="2"/>
                <w:color w:val="auto"/>
              </w:rPr>
            </w:pPr>
          </w:p>
        </w:tc>
        <w:tc>
          <w:tcPr>
            <w:tcW w:w="90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Servicing portfolio at March 31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70,542,961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49,677,999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462,187</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346,985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w:t>
            </w:r>
          </w:p>
        </w:tc>
        <w:tc>
          <w:tcPr>
            <w:tcW w:w="9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2,934,682</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7,466,279</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13,376</w:t>
            </w:r>
          </w:p>
        </w:tc>
        <w:tc>
          <w:tcPr>
            <w:tcW w:w="2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Runoff</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(2,647,076)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(1,899,702)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(13,429)</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2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June 30</w:t>
            </w: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70,830,567</w:t>
            </w:r>
          </w:p>
        </w:tc>
        <w:tc>
          <w:tcPr>
            <w:tcW w:w="6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w w:val="93"/>
              </w:rPr>
              <w:t>55,244,576</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462,134</w:t>
            </w:r>
          </w:p>
        </w:tc>
        <w:tc>
          <w:tcPr>
            <w:tcW w:w="24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373,951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EAF9E8"/>
            </w:tcBorders>
            <w:shd w:val="clear" w:color="auto" w:fill="EAF9E8"/>
          </w:tcPr>
          <w:p>
            <w:pPr>
              <w:spacing w:after="0" w:line="20" w:lineRule="exact"/>
              <w:rPr>
                <w:sz w:val="1"/>
                <w:szCs w:val="1"/>
                <w:color w:val="auto"/>
              </w:rPr>
            </w:pPr>
          </w:p>
        </w:tc>
        <w:tc>
          <w:tcPr>
            <w:tcW w:w="90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b w:val="1"/>
          <w:bCs w:val="1"/>
          <w:color w:val="auto"/>
        </w:rPr>
        <w:t xml:space="preserve">Three months ended June 2011 versus June 2010. </w:t>
      </w:r>
      <w:r>
        <w:rPr>
          <w:rFonts w:ascii="Arial" w:cs="Arial" w:eastAsia="Arial" w:hAnsi="Arial"/>
          <w:sz w:val="18"/>
          <w:szCs w:val="18"/>
          <w:color w:val="auto"/>
        </w:rPr>
        <w:t>Residential servicing and subservicing fees increased due to the increase in the UPB of residential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serviced and an increase in modifications.</w:t>
      </w:r>
    </w:p>
    <w:p>
      <w:pPr>
        <w:spacing w:after="0" w:line="19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average UPB of residential assets serviced was 31% higher in 2011 while residential servicing and subservicing fees increased by 44%. Servicing fees for the three months ended June 30, 2011 include $30,944 earned on the HomEq portfolio.</w:t>
      </w:r>
    </w:p>
    <w:p>
      <w:pPr>
        <w:spacing w:after="0" w:line="19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Revenue per dollar of UPB increased in the second quarter of 2011 versus 2010 due primarily to an increase in the servicing component of our portfolio relative to the subservicing component. This mix change in 2011 is due to the large amount of servicing UPB that we acquired in the HomEq and Saxon acquisitions. At June 30, 2011, the percentage of UPB representing servicing rather than subservicing was 66.2%, a 14% increase over the 58.1% at June 30, 2010.</w:t>
      </w:r>
    </w:p>
    <w:p>
      <w:pPr>
        <w:spacing w:after="0" w:line="21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When we return a loan to performing status, we generally recognize revenue in the form of deferred servicing fees and late fees. For loans modified under HAMP, however, we earn HAMP fees in place of late fees. Excluding HAMP fees, we recognized loan servicing fees and late charges of $11,806 and $7,606 during the three months ended June 30, 2011 and 2010, respectively. In addition, we earned total HAMP fees of $8,654 and $4,585 in the second quarter of 2011 and 2010, respectively. These amounts included HAMP success fees of $5,545 and $663 in the second quarter of 2011 and 2010, respectively on loans that were still performing at the one-year anniversary of their modification. We completed 16,825 modifications during the second quarter of 2011, a 17% increase over the 14,384 modifications completed during the second quarter of 2010. In the second quarter of 2011, 21% of completed modifications were HAMP as compared to 29% in the second quarter of 2010.</w:t>
      </w:r>
    </w:p>
    <w:p>
      <w:pPr>
        <w:spacing w:after="0" w:line="20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June 30, 2011, we estimate that the balance of uncollected and unrecognized servicing fees related to delinquent borrower payments was $111,900 compared to $123,582 as of December 31, 2010.</w:t>
      </w:r>
    </w:p>
    <w:p>
      <w:pPr>
        <w:spacing w:after="0" w:line="197"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Process management fee revenues are primarily comprised of referral commissions for residential REO properties sold through our network of brokers. Process management fees also include fees earned from Altisource in connection with the preparation of foreclosure and similar documents on loans that have defaulted. In future periods, we expect a decline in these fees as we align with new Freddie Mac and Fannie Mae guidelines that restrict certain fees.</w:t>
      </w:r>
    </w:p>
    <w:p>
      <w:pPr>
        <w:spacing w:after="0" w:line="174"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Operating expenses decreased by $442 primarily due to a decline in Professional services as a result of the $5,163 provision for the MDL Proceeding settlement established in 2010 and $1,250 of fees incurred in connection with the HomEq acquisition in 2010. In addition, Servicing and origination declined principally because of a $487 reversal of the valuation allowance on MSRs in 2011 as compared to a provision of $623 in 2010. However, these declines were largely offset by the effects of the Saxon and HomEq servicing acquisitions. These acquisitions included the purchase of $107,749 of MSRs during 2010 resulting in higher amortization expense. In addition, although the employees transferred to Ocwen as a result of the HomEq Acquisition were terminated in 2010, Ocwen hired employees in the United States, India and Uruguay to support the servicing of the acquired loans. Average employment of the Servicing segment for the second quarter of 2011 was 37% higher than the second quarter of 2010.</w:t>
      </w:r>
    </w:p>
    <w:p>
      <w:pPr>
        <w:spacing w:after="0" w:line="20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overall delinquency rates at June 30, 2011 have declined significantly since December 31, 2010 and have improved to levels better than those before the acquisition of the HomEq and Saxon portfolios. Delinquency rates on both the HomEq and Saxon portfolios have declined since boarding but as of June 30, 2011 the delinquency rate on the Saxon portfolio was still higher than the rate for the prior portfolios. Excluding the effects of new acquisitions or of any changes to foreclosure processes that may occur in 2011, we expect overall delinquency rates to decline further in a continuation of the current trend; however, this outcome is not assured.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ind w:right="180" w:firstLine="324"/>
        <w:spacing w:after="0" w:line="259" w:lineRule="auto"/>
        <w:rPr>
          <w:sz w:val="20"/>
          <w:szCs w:val="20"/>
          <w:color w:val="auto"/>
        </w:rPr>
      </w:pPr>
      <w:r>
        <w:rPr>
          <w:rFonts w:ascii="Arial" w:cs="Arial" w:eastAsia="Arial" w:hAnsi="Arial"/>
          <w:sz w:val="18"/>
          <w:szCs w:val="18"/>
          <w:color w:val="auto"/>
        </w:rPr>
        <w:t>Prepayment speed was 1.2 percentage points higher in the second quarter of 2011 primarily due to an increase in regular principal collections and other principal reductions including modifications. These increases were partially offset by a decline in real estate sales and other involuntary liquidations. Real estate sales and other involuntary liquidations accounted for approximately 60% and 76% of prepayments during the second quarter of 2011 and 2010, respectively, as principal reduction loan modifications and short sales increased.</w:t>
      </w:r>
    </w:p>
    <w:p>
      <w:pPr>
        <w:spacing w:after="0" w:line="214"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6"/>
          <w:szCs w:val="16"/>
          <w:color w:val="auto"/>
        </w:rPr>
        <w:t>Interest expense on borrowings for 2011 was 67% higher than 2010 principally because of an increase in average borrowings on advance facilities as a result of the HomEq Acquisition, the closing of the $350,000 senior secured term loan in July 2010 and the higher average interest rates charged on the term notes issued as part of the HomEq advance facility. Interest expense for the second quarter of 2011 also includes $2,951 of net settlements related to interest rate swap agreements that we entered into during the second quarter of 2010. These increases were partly offset by lower spreads on advance facilities.</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Average borrowings of the Servicing segment increased by 44% during the second quarter of 2011 as compared to 2010 due to the senior secured term loan and the increase in the average balance of match funded liabilities related to the HomEq and Saxon acquisitions.</w:t>
      </w:r>
    </w:p>
    <w:p>
      <w:pPr>
        <w:spacing w:after="0" w:line="207" w:lineRule="exact"/>
        <w:rPr>
          <w:sz w:val="20"/>
          <w:szCs w:val="20"/>
          <w:color w:val="auto"/>
        </w:rPr>
      </w:pPr>
    </w:p>
    <w:p>
      <w:pPr>
        <w:ind w:right="40" w:firstLine="324"/>
        <w:spacing w:after="0" w:line="303" w:lineRule="auto"/>
        <w:rPr>
          <w:sz w:val="20"/>
          <w:szCs w:val="20"/>
          <w:color w:val="auto"/>
        </w:rPr>
      </w:pPr>
      <w:r>
        <w:rPr>
          <w:rFonts w:ascii="Arial" w:cs="Arial" w:eastAsia="Arial" w:hAnsi="Arial"/>
          <w:sz w:val="16"/>
          <w:szCs w:val="16"/>
          <w:b w:val="1"/>
          <w:bCs w:val="1"/>
          <w:color w:val="auto"/>
        </w:rPr>
        <w:t xml:space="preserve">Six months ended June 2011 versus June 2010. </w:t>
      </w:r>
      <w:r>
        <w:rPr>
          <w:rFonts w:ascii="Arial" w:cs="Arial" w:eastAsia="Arial" w:hAnsi="Arial"/>
          <w:sz w:val="16"/>
          <w:szCs w:val="16"/>
          <w:color w:val="auto"/>
        </w:rPr>
        <w:t>Residential servicing and subservicing fees for the first six months of 2011 were 49% higher than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of 2010 due to a 37% increase in the average UPB of residential assets serviced and a 22% increase in modifications. Revenue increased relative to average UPB in the first six months of 2011 as compared to 2010 due primarily to a higher mix of servicing versus subservicing in 2011 due to the HomEq and Saxon acquisitions. Servicing fees for the six months ended June 30, 2011 include $64,162 earned on the HomEq portfolio.</w:t>
      </w:r>
    </w:p>
    <w:p>
      <w:pPr>
        <w:spacing w:after="0" w:line="182"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Excluding HAMP fees, we recognized loan servicing fees and late charges of $29,103 and $16,875 during the six months ended June 30, 2011 and 2010, respectively, as a result of modifications completed. Total HAMP fees were $17,292 and $11,038 in the first six months of 2011 and 2010, respectively. HAMP success fees represent $10,780 and $663 of the total HAMP fees in the first six months of 2011 and 2010, respectively. We completed a total of 41,327 modifications during the first six months of 2011 as compared to 33,991 during the first six months of 2010. In the first six months of 2011, 17% of completed modifications were HAMP as compared to 31% in the first six months of 2010.</w:t>
      </w:r>
    </w:p>
    <w:p>
      <w:pPr>
        <w:spacing w:after="0" w:line="20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Operating expenses increased by $8,553 primarily due to the acquisition of the Saxon and HomEq servicing portfolios, which resulted in higher amortization expense. In addition, employees hired by Ocwen in the United States, India and Uruguay to support the servicing of the acquired loans resulted in average employment of the Servicing segment for the first six months of 2011 that was 38% higher than the first six months of 2010. The effects of the servicing acquisitions were partly offset by a decline in Professional services because of the provision of $5,163 for the MDL settlement recorded in 2010 and $1,250 of fees incurred in connection with the HomEq acquisition in 2010.</w:t>
      </w:r>
    </w:p>
    <w:p>
      <w:pPr>
        <w:spacing w:after="0" w:line="21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Interest expense on borrowings for the first six months of 2011 was 145% higher than in 2010 principally because of an increase in average borrowings on advance facilities as a result of the HomEq Acquisition, the closing of the $350,000 senior secured term loan in July 2010 and accelerated prepayments on this loan in 2011 and the higher average interest rates charged on the term notes issued as part of the HomEq advance facility. During the first six months of 2011, we made prepayments totaling $180,000 on the senior secured term loan resulting in an interest expense write-off totaling $12,575 representing a proportionate amount of the related debt discount and deferred facility costs. Interest expense for the first six months of 2011 also includes $5,879 of net settlements related to interest rate swap agreements that we entered into during the second quarter of 2010. These increases were partly offset by lower spreads on advance facilities. Average borrowings of the Servicing segment increased by 94% during the first six months of 2011 as compared to 2010 as average advances and match funded advances increased by 68% during the same period due to advances and MSRs acquired as part of the HomEq and Saxon acquisitions.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The following table presents selected assets and liabilities of the Servicing segment at:</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Advances (1)</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163,108</w:t>
            </w:r>
          </w:p>
        </w:tc>
        <w:tc>
          <w:tcPr>
            <w:tcW w:w="220" w:type="dxa"/>
            <w:vAlign w:val="bottom"/>
            <w:shd w:val="clear" w:color="auto" w:fill="EAF9E8"/>
          </w:tcPr>
          <w:p>
            <w:pPr>
              <w:spacing w:after="0"/>
              <w:rPr>
                <w:sz w:val="18"/>
                <w:szCs w:val="18"/>
                <w:color w:val="auto"/>
              </w:rPr>
            </w:pP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Match funded advances(1)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1,421,636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1,924,052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 (Residential) (2)</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175,591</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Receivables, net (3)</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44,017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12,810</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Debt service accounts (4)</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53,656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Prepaid lender fees and debt issuance costs, net (5)</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11,743</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22,467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1,893,917</w:t>
            </w:r>
          </w:p>
        </w:tc>
        <w:tc>
          <w:tcPr>
            <w:tcW w:w="220" w:type="dxa"/>
            <w:vAlign w:val="bottom"/>
            <w:shd w:val="clear" w:color="auto" w:fill="EAF9E8"/>
          </w:tcPr>
          <w:p>
            <w:pPr>
              <w:spacing w:after="0"/>
              <w:rPr>
                <w:sz w:val="22"/>
                <w:szCs w:val="22"/>
                <w:color w:val="auto"/>
              </w:rPr>
            </w:pP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2,495,966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 (6)</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1,041,998</w:t>
            </w:r>
          </w:p>
        </w:tc>
        <w:tc>
          <w:tcPr>
            <w:tcW w:w="220" w:type="dxa"/>
            <w:vAlign w:val="bottom"/>
            <w:shd w:val="clear" w:color="auto" w:fill="EAF9E8"/>
          </w:tcPr>
          <w:p>
            <w:pPr>
              <w:spacing w:after="0"/>
              <w:rPr>
                <w:sz w:val="18"/>
                <w:szCs w:val="18"/>
                <w:color w:val="auto"/>
              </w:rPr>
            </w:pP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Lines of credit and other secured borrowings (5)</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34,742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Servicer liabilities</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1,964</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Accrued expenses (7)</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19,508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26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12,901</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Deferred income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Servicing liabilities</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3,169</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 (8)</w:t>
            </w:r>
          </w:p>
        </w:tc>
        <w:tc>
          <w:tcPr>
            <w:tcW w:w="26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13,301</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19"/>
                <w:szCs w:val="19"/>
                <w:color w:val="auto"/>
              </w:rPr>
            </w:pP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20,581</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1,138,457</w:t>
            </w:r>
          </w:p>
        </w:tc>
        <w:tc>
          <w:tcPr>
            <w:tcW w:w="2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1,795,251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60" w:hanging="572"/>
        <w:spacing w:after="0" w:line="264"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decline in advances in 2011 is primarily due to reductions in advances related to the HomEq Servicing portfolio. Excluding the effect of any new acquisitions or significant foreclosure process changes, we expect advances to continue to decline in 2011; however, there is no assurance that this will occur.</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decline in MSRs in 2011 is due to amortization of $19,095 partly offset by a $701 decrease in the impairment valuation allowance.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decline in receivables in 2011 primarily reflects a $20,278 decline in amounts to be recovered from the custodial accounts of the trustees.</w:t>
      </w:r>
    </w:p>
    <w:p>
      <w:pPr>
        <w:spacing w:after="0" w:line="236" w:lineRule="exact"/>
        <w:rPr>
          <w:rFonts w:ascii="Arial" w:cs="Arial" w:eastAsia="Arial" w:hAnsi="Arial"/>
          <w:sz w:val="17"/>
          <w:szCs w:val="17"/>
          <w:color w:val="auto"/>
        </w:rPr>
      </w:pP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balances required to be maintained in the debt service accounts were lower due to the repayment of the match funded facilities.</w:t>
      </w:r>
    </w:p>
    <w:p>
      <w:pPr>
        <w:spacing w:after="0" w:line="225" w:lineRule="exact"/>
        <w:rPr>
          <w:rFonts w:ascii="Arial" w:cs="Arial" w:eastAsia="Arial" w:hAnsi="Arial"/>
          <w:sz w:val="18"/>
          <w:szCs w:val="18"/>
          <w:color w:val="auto"/>
        </w:rPr>
      </w:pPr>
    </w:p>
    <w:p>
      <w:pPr>
        <w:ind w:left="580" w:right="20" w:hanging="572"/>
        <w:spacing w:after="0" w:line="255"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paid $10,638 of fees in connection with the $350,000 senior secured term loan that was used to fund a portion of the HomEq Acquisition. These costs and the original issue discount of $7,000 were being amortized over the five-year term of the loan. At December 31, 2010, the outstanding principal balance of this loan was $197,500, the unamortized discount was $5,632 and the balance of unamortized debt issuance costs was $8,604. We repaid the outstanding balance of this loan during 2011 (including $162,500 during the second quarter) and fully amortized the remaining discount and debt issue costs through June 9, 2011 when we terminated the facility. See Note 13 to our Interim Consolidated Financial Statements for additional information regarding this loan.</w:t>
      </w:r>
    </w:p>
    <w:p>
      <w:pPr>
        <w:spacing w:after="0" w:line="193" w:lineRule="exact"/>
        <w:rPr>
          <w:rFonts w:ascii="Arial" w:cs="Arial" w:eastAsia="Arial" w:hAnsi="Arial"/>
          <w:sz w:val="18"/>
          <w:szCs w:val="18"/>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outstanding balance of the term notes issued in connection with the HomEq Acquisition declined by $303,014 because of advance collections.</w:t>
      </w:r>
    </w:p>
    <w:p>
      <w:pPr>
        <w:spacing w:after="0" w:line="248"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decline in accrued expenses is primarily due to our payment of the MDL Proceeding settlement in May 2011.</w:t>
      </w:r>
    </w:p>
    <w:p>
      <w:pPr>
        <w:spacing w:after="0" w:line="225"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balance at June 30, 2011 includes $7,704 due to investors in connection with loan subservicing agreements, a decline of $7,239 from the amount due at December 31, 2010.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Corporate Items and Other</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860" w:type="dxa"/>
            <w:vAlign w:val="bottom"/>
            <w:gridSpan w:val="13"/>
          </w:tcPr>
          <w:p>
            <w:pPr>
              <w:ind w:left="320"/>
              <w:spacing w:after="0"/>
              <w:rPr>
                <w:sz w:val="20"/>
                <w:szCs w:val="20"/>
                <w:color w:val="auto"/>
              </w:rPr>
            </w:pPr>
            <w:r>
              <w:rPr>
                <w:rFonts w:ascii="Arial" w:cs="Arial" w:eastAsia="Arial" w:hAnsi="Arial"/>
                <w:sz w:val="18"/>
                <w:szCs w:val="18"/>
                <w:color w:val="auto"/>
              </w:rPr>
              <w:t>The following table presents selected results of operations of Corporate Items and Other for the periods ended June 30:</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Three months</w:t>
            </w:r>
          </w:p>
        </w:tc>
        <w:tc>
          <w:tcPr>
            <w:tcW w:w="9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Six months</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6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635</w:t>
            </w:r>
          </w:p>
        </w:tc>
        <w:tc>
          <w:tcPr>
            <w:tcW w:w="5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601</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1,107</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1,630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3,201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(3,028)</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(2,094)</w:t>
            </w:r>
          </w:p>
        </w:tc>
        <w:tc>
          <w:tcPr>
            <w:tcW w:w="1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top w:val="single" w:sz="8" w:color="EAF9E8"/>
            </w:tcBorders>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interest income</w:t>
            </w:r>
          </w:p>
        </w:tc>
        <w:tc>
          <w:tcPr>
            <w:tcW w:w="3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2,193</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1,510</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4,273</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Loss on auction rate trading securities (1)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3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(1,616)</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(1,049)</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(2,520)</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w w:val="98"/>
              </w:rPr>
              <w:t>Equity in (losses) earnings of unconsolidated entities(2)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(796)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(847)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Gain on debt repurchase (3)</w:t>
            </w:r>
          </w:p>
        </w:tc>
        <w:tc>
          <w:tcPr>
            <w:tcW w:w="3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(4,047)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(958)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Other expense, net</w:t>
            </w:r>
          </w:p>
        </w:tc>
        <w:tc>
          <w:tcPr>
            <w:tcW w:w="38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(860)</w:t>
            </w:r>
          </w:p>
        </w:tc>
        <w:tc>
          <w:tcPr>
            <w:tcW w:w="2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(5,135)</w:t>
            </w:r>
          </w:p>
        </w:tc>
        <w:tc>
          <w:tcPr>
            <w:tcW w:w="2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Borders>
              <w:top w:val="single" w:sz="8" w:color="EAF9E8"/>
            </w:tcBorders>
          </w:tcPr>
          <w:p>
            <w:pPr>
              <w:spacing w:after="0"/>
              <w:rPr>
                <w:sz w:val="18"/>
                <w:szCs w:val="18"/>
                <w:color w:val="auto"/>
              </w:rPr>
            </w:pPr>
          </w:p>
        </w:tc>
        <w:tc>
          <w:tcPr>
            <w:tcW w:w="38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before income taxes</w:t>
            </w:r>
          </w:p>
        </w:tc>
        <w:tc>
          <w:tcPr>
            <w:tcW w:w="6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(1,855)</w:t>
            </w:r>
          </w:p>
        </w:tc>
        <w:tc>
          <w:tcPr>
            <w:tcW w:w="56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(8,163)</w:t>
            </w:r>
          </w:p>
        </w:tc>
        <w:tc>
          <w:tcPr>
            <w:tcW w:w="4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(2,146)</w:t>
            </w:r>
          </w:p>
        </w:tc>
        <w:tc>
          <w:tcPr>
            <w:tcW w:w="5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2010, we liquidated our remaining investment in auction rate securities through sales and settlements of litigation actions.</w:t>
      </w:r>
    </w:p>
    <w:p>
      <w:pPr>
        <w:spacing w:after="0" w:line="225"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June 2011, ONL sold 38 residential loans for proceeds of $3,748 and realized a loss of $2,876 of which approximately 25% is included in Equity in losses of unconsolidated entities for 2011.</w:t>
      </w:r>
    </w:p>
    <w:p>
      <w:pPr>
        <w:spacing w:after="0" w:line="170" w:lineRule="exact"/>
        <w:rPr>
          <w:rFonts w:ascii="Arial" w:cs="Arial" w:eastAsia="Arial" w:hAnsi="Arial"/>
          <w:sz w:val="18"/>
          <w:szCs w:val="18"/>
          <w:color w:val="auto"/>
        </w:rPr>
      </w:pPr>
    </w:p>
    <w:p>
      <w:pPr>
        <w:ind w:left="580" w:right="60" w:hanging="572"/>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January 2010, we repurchased $12,930 par value of our 10.875% Capital Trust Securities at a discount to par in the open market which generated a gain of $717, net of the write-off of unamortized issuance costs.</w:t>
      </w:r>
    </w:p>
    <w:p>
      <w:pPr>
        <w:spacing w:after="0" w:line="193" w:lineRule="exact"/>
        <w:rPr>
          <w:sz w:val="20"/>
          <w:szCs w:val="20"/>
          <w:color w:val="auto"/>
        </w:rPr>
      </w:pPr>
    </w:p>
    <w:p>
      <w:pPr>
        <w:ind w:right="240" w:firstLine="324"/>
        <w:spacing w:after="0" w:line="282" w:lineRule="auto"/>
        <w:rPr>
          <w:sz w:val="20"/>
          <w:szCs w:val="20"/>
          <w:color w:val="auto"/>
        </w:rPr>
      </w:pPr>
      <w:r>
        <w:rPr>
          <w:rFonts w:ascii="Arial" w:cs="Arial" w:eastAsia="Arial" w:hAnsi="Arial"/>
          <w:sz w:val="18"/>
          <w:szCs w:val="18"/>
          <w:b w:val="1"/>
          <w:bCs w:val="1"/>
          <w:color w:val="auto"/>
        </w:rPr>
        <w:t>Three months ended June 2011 versus June 2010</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expenses were lower during the second quarter of 2011 primarily due to the reversal of</w:t>
      </w:r>
      <w:r>
        <w:rPr>
          <w:rFonts w:ascii="Arial" w:cs="Arial" w:eastAsia="Arial" w:hAnsi="Arial"/>
          <w:sz w:val="18"/>
          <w:szCs w:val="18"/>
          <w:b w:val="1"/>
          <w:bCs w:val="1"/>
          <w:color w:val="auto"/>
        </w:rPr>
        <w:t xml:space="preserve"> </w:t>
      </w:r>
      <w:r>
        <w:rPr>
          <w:rFonts w:ascii="Arial" w:cs="Arial" w:eastAsia="Arial" w:hAnsi="Arial"/>
          <w:sz w:val="18"/>
          <w:szCs w:val="18"/>
          <w:color w:val="auto"/>
        </w:rPr>
        <w:t>$931 of allowances on receivables related to investments in affordable housing properties sold.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interest income consists primarily of interest on loans held by the consolidated securitization trusts and loans held for resale.</w:t>
      </w:r>
    </w:p>
    <w:p>
      <w:pPr>
        <w:spacing w:after="0" w:line="25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decline in earnings of unconsolidated entities in the second quarter of 2011 largely resulted from an increase in unrealized losses on loans held by ONL and a realized loss on loans sold in June 2011. Correspondent One was still in the formation process as of June 30, 2011 and therefore has had no impact on our operations in 2011.</w:t>
      </w:r>
    </w:p>
    <w:p>
      <w:pPr>
        <w:spacing w:after="0" w:line="20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Other, net declined in 2011 because of a $3,000 charge we recorded in the second quarter of 2010 to write-off our investment in a commercial real estate partnership.</w:t>
      </w:r>
    </w:p>
    <w:p>
      <w:pPr>
        <w:spacing w:after="0" w:line="193" w:lineRule="exact"/>
        <w:rPr>
          <w:sz w:val="20"/>
          <w:szCs w:val="20"/>
          <w:color w:val="auto"/>
        </w:rPr>
      </w:pPr>
    </w:p>
    <w:p>
      <w:pPr>
        <w:ind w:right="100" w:firstLine="324"/>
        <w:spacing w:after="0" w:line="281" w:lineRule="auto"/>
        <w:rPr>
          <w:sz w:val="20"/>
          <w:szCs w:val="20"/>
          <w:color w:val="auto"/>
        </w:rPr>
      </w:pPr>
      <w:r>
        <w:rPr>
          <w:rFonts w:ascii="Arial" w:cs="Arial" w:eastAsia="Arial" w:hAnsi="Arial"/>
          <w:sz w:val="17"/>
          <w:szCs w:val="17"/>
          <w:b w:val="1"/>
          <w:bCs w:val="1"/>
          <w:color w:val="auto"/>
        </w:rPr>
        <w:t xml:space="preserve">Six months ended June 2011 versus June 2010. </w:t>
      </w:r>
      <w:r>
        <w:rPr>
          <w:rFonts w:ascii="Arial" w:cs="Arial" w:eastAsia="Arial" w:hAnsi="Arial"/>
          <w:sz w:val="17"/>
          <w:szCs w:val="17"/>
          <w:color w:val="auto"/>
        </w:rPr>
        <w:t>Operating expenses were lower during the first six months of 2011 primarily due to a decline in</w:t>
      </w:r>
      <w:r>
        <w:rPr>
          <w:rFonts w:ascii="Arial" w:cs="Arial" w:eastAsia="Arial" w:hAnsi="Arial"/>
          <w:sz w:val="17"/>
          <w:szCs w:val="17"/>
          <w:b w:val="1"/>
          <w:bCs w:val="1"/>
          <w:color w:val="auto"/>
        </w:rPr>
        <w:t xml:space="preserve"> </w:t>
      </w:r>
      <w:r>
        <w:rPr>
          <w:rFonts w:ascii="Arial" w:cs="Arial" w:eastAsia="Arial" w:hAnsi="Arial"/>
          <w:sz w:val="17"/>
          <w:szCs w:val="17"/>
          <w:color w:val="auto"/>
        </w:rPr>
        <w:t>litigation-related expenses and the reversal of allowances on affordable housing receivables. During the first quarter of 2010, we incurred costs in connection with the settlement of two litigation actions whereby the broker / dealers agreed to repurchase certain of our auction rate securities. In addition, during the first quarter of 2011, we reduced our accruals related to litigation that we had established in 2010.</w:t>
      </w:r>
    </w:p>
    <w:p>
      <w:pPr>
        <w:spacing w:after="0" w:line="19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decline in earnings of unconsolidated entities in the first six months of 2011 largely resulted from an increase in unrealized losses on loans held by ONL, a realized loss on loans sold and a decline in the fair value of residual securities held by OSI.</w:t>
      </w:r>
    </w:p>
    <w:p>
      <w:pPr>
        <w:spacing w:after="0" w:line="19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Other, net for the six months ended June 30, 2010 includes the $3,000 charge recorded in the second quarter to write-off our investment in a commercial real estate partnership.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The following table presents selected assets and liabilities of Corporate Items and Other at:</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EAF9E8"/>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104,167</w:t>
            </w:r>
          </w:p>
        </w:tc>
        <w:tc>
          <w:tcPr>
            <w:tcW w:w="220" w:type="dxa"/>
            <w:vAlign w:val="bottom"/>
            <w:shd w:val="clear" w:color="auto" w:fill="EAF9E8"/>
          </w:tcPr>
          <w:p>
            <w:pPr>
              <w:spacing w:after="0"/>
              <w:rPr>
                <w:sz w:val="18"/>
                <w:szCs w:val="18"/>
                <w:color w:val="auto"/>
              </w:rPr>
            </w:pP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Restricted cash – for securitization investors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Loans held for resale (1)</w:t>
            </w:r>
          </w:p>
        </w:tc>
        <w:tc>
          <w:tcPr>
            <w:tcW w:w="26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23,193</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Advances on loans held for resale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Loans, net – restricted for securitization investors (2)</w:t>
            </w:r>
          </w:p>
        </w:tc>
        <w:tc>
          <w:tcPr>
            <w:tcW w:w="26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62,344</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Income taxes receivable</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4,073</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139,086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Premises and equipment, net</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4,287</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Interest-earning collateral deposits (3)</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26,264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Real estate (4)</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3,910</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Investment in unconsolidated entities (5)</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4,261</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19"/>
                <w:szCs w:val="19"/>
                <w:color w:val="auto"/>
              </w:rPr>
            </w:pP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4,587</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394,832</w:t>
            </w:r>
          </w:p>
        </w:tc>
        <w:tc>
          <w:tcPr>
            <w:tcW w:w="2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425,443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Secured borrowings – owed to securitization investors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58,696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6,716</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82,554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Accrued expenses (6)</w:t>
            </w:r>
          </w:p>
        </w:tc>
        <w:tc>
          <w:tcPr>
            <w:tcW w:w="260" w:type="dxa"/>
            <w:vAlign w:val="bottom"/>
            <w:shd w:val="clear" w:color="auto" w:fill="EAF9E8"/>
          </w:tcPr>
          <w:p>
            <w:pPr>
              <w:spacing w:after="0"/>
              <w:rPr>
                <w:sz w:val="18"/>
                <w:szCs w:val="18"/>
                <w:color w:val="auto"/>
              </w:rPr>
            </w:pPr>
          </w:p>
        </w:tc>
        <w:tc>
          <w:tcPr>
            <w:tcW w:w="14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14,740</w:t>
            </w: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Derivatives, at fair value (3)</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15,787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5,233</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Liability for selected tax items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Payable to Altisource</w:t>
            </w: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3,193</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2,610</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auto"/>
            </w:tcBorders>
            <w:shd w:val="clear" w:color="auto" w:fill="EAF9E8"/>
          </w:tcPr>
          <w:p>
            <w:pPr>
              <w:spacing w:after="0"/>
              <w:rPr>
                <w:sz w:val="19"/>
                <w:szCs w:val="19"/>
                <w:color w:val="auto"/>
              </w:rPr>
            </w:pP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194,466</w:t>
            </w:r>
          </w:p>
        </w:tc>
        <w:tc>
          <w:tcPr>
            <w:tcW w:w="2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221,341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80" w:right="40" w:hanging="572"/>
        <w:spacing w:after="0" w:line="264"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Loans held for resale are net of valuation allowances of $14,680 and $14,611 at June 30, 2011 and December 31, 2010, respectively, and include non-performing loans with a carrying value of $10,325 and $11,247, respectively. The UPB of nonperforming loans held for resale as a percentage of total UPB was 56% at June 30, 2011 compared to 54% at June 30, 2010 and 53% at December 31, 2010.</w:t>
      </w:r>
    </w:p>
    <w:p>
      <w:pPr>
        <w:spacing w:after="0" w:line="181" w:lineRule="exact"/>
        <w:rPr>
          <w:rFonts w:ascii="Arial" w:cs="Arial" w:eastAsia="Arial" w:hAnsi="Arial"/>
          <w:sz w:val="18"/>
          <w:szCs w:val="18"/>
          <w:color w:val="auto"/>
        </w:rPr>
      </w:pPr>
    </w:p>
    <w:p>
      <w:pPr>
        <w:ind w:left="580" w:right="180" w:hanging="572"/>
        <w:spacing w:after="0" w:line="312"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Loans held by the consolidated securitization trusts are net of an allowance for loan losses of $2,483 and $2,378 at June 30, 2011 and December 31, 2010, respectively, and include nonperforming loans with a UPB of $11,649 and $12,933, respectively. The UPB of nonperforming loans was $14,108 at June 30, 2010. See Note 7 to the Interim Consolidated Financial Statements for additional information regarding these loans.</w:t>
      </w:r>
    </w:p>
    <w:p>
      <w:pPr>
        <w:spacing w:after="0" w:line="146" w:lineRule="exact"/>
        <w:rPr>
          <w:rFonts w:ascii="Arial" w:cs="Arial" w:eastAsia="Arial" w:hAnsi="Arial"/>
          <w:sz w:val="16"/>
          <w:szCs w:val="16"/>
          <w:color w:val="auto"/>
        </w:rPr>
      </w:pPr>
    </w:p>
    <w:p>
      <w:pPr>
        <w:jc w:val="both"/>
        <w:ind w:left="580" w:right="100" w:hanging="572"/>
        <w:spacing w:after="0" w:line="264"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disclosed in Note 15 to the Interim Consolidated Financial Statements, we entered into interest rate swap agreements during the second quarter of 2010 to hedge against our exposure to an increase in variable interest rates. At June 30, 2011 and December 31, 2010, we have $19,265 and $18,684, respectively, of cash collateral on deposit with the counterparties to the swap agreements.</w:t>
      </w:r>
    </w:p>
    <w:p>
      <w:pPr>
        <w:spacing w:after="0" w:line="181" w:lineRule="exact"/>
        <w:rPr>
          <w:rFonts w:ascii="Arial" w:cs="Arial" w:eastAsia="Arial" w:hAnsi="Arial"/>
          <w:sz w:val="18"/>
          <w:szCs w:val="18"/>
          <w:color w:val="auto"/>
        </w:rPr>
      </w:pPr>
    </w:p>
    <w:p>
      <w:pPr>
        <w:ind w:left="580" w:right="60" w:hanging="572"/>
        <w:spacing w:after="0" w:line="27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$3,042 and $3,783 at June 30, 2011 and December 31, 2010, respectively, of foreclosed properties from our portfolio of loans held for resale that are reported net of fair value allowances of $3,531 and $3,554, respectively.</w:t>
      </w:r>
    </w:p>
    <w:p>
      <w:pPr>
        <w:spacing w:after="0" w:line="170" w:lineRule="exact"/>
        <w:rPr>
          <w:rFonts w:ascii="Arial" w:cs="Arial" w:eastAsia="Arial" w:hAnsi="Arial"/>
          <w:sz w:val="18"/>
          <w:szCs w:val="18"/>
          <w:color w:val="auto"/>
        </w:rPr>
      </w:pPr>
    </w:p>
    <w:p>
      <w:pPr>
        <w:ind w:left="580" w:right="40" w:hanging="572"/>
        <w:spacing w:after="0" w:line="297"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Investment in unconsolidated entities includes our 25% equity interests in asset management entities OSI, ONL and OREO of $9,507 and $11,992 combined at June 30, 2011 and December 31, 2010, respectively. During the first six months of 2011, we received distributions of $750 from OSI and $889 from ONL and OREO. We did not invest any capital in OSI or ONL and OREO during the first six months of 2011. In addition, we acquired a 50% interest in Correspondent One in March 2011. As of June 30, 2011, we had funded $3,025 of the committed $15,000 investment in Correspondent One. We funded the remaining $11,975 in July. We account for our investments in unconsolidated entities using the equity method.</w:t>
      </w:r>
    </w:p>
    <w:p>
      <w:pPr>
        <w:spacing w:after="0" w:line="158" w:lineRule="exact"/>
        <w:rPr>
          <w:rFonts w:ascii="Arial" w:cs="Arial" w:eastAsia="Arial" w:hAnsi="Arial"/>
          <w:sz w:val="16"/>
          <w:szCs w:val="16"/>
          <w:color w:val="auto"/>
        </w:rPr>
      </w:pPr>
    </w:p>
    <w:p>
      <w:pPr>
        <w:ind w:left="580" w:right="280" w:hanging="572"/>
        <w:spacing w:after="0" w:line="286" w:lineRule="auto"/>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decline in accrued expenses in 2011 is primarily due to our payment of the Cartel judgment in May. Accruals established in connection with litigation declined from $18,413 at December 31, 2010 to $2,500 at June 30, 2011. In addition, we paid the 2010 annual bonus in March 2011. See Note 22 to the Interim Consolidated Financial Statements for additional information regarding litigation.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EQUITY</w:t>
      </w:r>
    </w:p>
    <w:p>
      <w:pPr>
        <w:spacing w:after="0" w:line="256"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Total equity amounted to $955,826 at June 30, 2011 as compared to $904,817 at December 31, 2010. This increase of $51,009 is primarily due to net income of $48,447. The exercise of stock options and the recognition of compensation related to employee share-based awards also contributed to the increase in equity in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Income tax expense (benefit) was $14,653 and $(2,777) for the second quarter of 2011 and 2010, respectively. For the six months of 2011 and 2010, income tax expense was $27,078 and $7,797, respectively.</w:t>
      </w:r>
    </w:p>
    <w:p>
      <w:pPr>
        <w:spacing w:after="0" w:line="19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effective tax rate for the first six months of 2011 was 35.9% as compared to 17.4% for the same period of 2010. Income tax provisions for interim (quarterly) periods are based on estimated annual income taxes calculated separately from the effect of significant, infrequent or unusual items. Income tax expense differs from amounts that would be computed by applying the Federal corporate income tax rate of 35% primarily because of the effect of foreign taxes and foreign tax rates, foreign income with an indefinite deferral from U.S. taxation, losses from consolidated VIEs, state taxes and changes in the liability for selected tax items.</w:t>
      </w:r>
    </w:p>
    <w:p>
      <w:pPr>
        <w:spacing w:after="0" w:line="21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effective tax rate for the first six months of 2010 reflects a benefit from the release of a reserve of $8,348 predominantly related to deductions associated with a servicing advance finance structure. The reserve for this item was recorded in 2009. Our effective tax rate for first six months of 2010 also includes a non-cash benefit of approximately 6.1% associated with the recognition of certain foreign deferred tax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noted in the Overview – Liquidity Summary, above, our liquidity as of June 30, 2011, as measured by unencumbered cash plus unused, collateralized advance financing capacity was $205,737, a decrease of $51,154, or 20%, from December 31, 2010. At June 30, 2011, our cash position was $104,167 compared to $127,796 at December 31, 2010. We have invested cash that is in excess of our immediate operating needs primarily in money market deposit accounts.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primary sources of funds for near-term liquidity are:</w:t>
      </w:r>
    </w:p>
    <w:p>
      <w:pPr>
        <w:spacing w:after="0" w:line="256" w:lineRule="exact"/>
        <w:rPr>
          <w:sz w:val="20"/>
          <w:szCs w:val="20"/>
          <w:color w:val="auto"/>
        </w:rPr>
      </w:pPr>
    </w:p>
    <w:p>
      <w:pPr>
        <w:ind w:left="1040" w:hanging="573"/>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proceeds from lines of credit and other secured borrowings; and</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payments received on loans held for resale.</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to these near-term sources, potential additional long-term sources of liquidity include proceeds from the issuance of debt securities and equity capital, although we cannot assure you that they will be available on terms that we find acceptable.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252" w:lineRule="exact"/>
        <w:rPr>
          <w:sz w:val="20"/>
          <w:szCs w:val="20"/>
          <w:color w:val="auto"/>
        </w:rPr>
      </w:pPr>
    </w:p>
    <w:p>
      <w:pPr>
        <w:ind w:left="1040" w:hanging="573"/>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1040" w:hanging="573"/>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 of MSRs and related advances; and</w:t>
      </w:r>
    </w:p>
    <w:p>
      <w:pPr>
        <w:spacing w:after="0" w:line="9" w:lineRule="exact"/>
        <w:rPr>
          <w:rFonts w:ascii="Arial" w:cs="Arial" w:eastAsia="Arial" w:hAnsi="Arial"/>
          <w:sz w:val="18"/>
          <w:szCs w:val="18"/>
          <w:color w:val="auto"/>
        </w:rPr>
      </w:pPr>
    </w:p>
    <w:p>
      <w:pPr>
        <w:ind w:left="1040" w:hanging="573"/>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repayments of borrowings.</w:t>
      </w:r>
    </w:p>
    <w:p>
      <w:pPr>
        <w:spacing w:after="0" w:line="23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 In assessing our liquidity outlook, our primary focus is on three measures:</w:t>
      </w:r>
    </w:p>
    <w:p>
      <w:pPr>
        <w:spacing w:after="0" w:line="197" w:lineRule="exact"/>
        <w:rPr>
          <w:sz w:val="20"/>
          <w:szCs w:val="20"/>
          <w:color w:val="auto"/>
        </w:rPr>
      </w:pPr>
    </w:p>
    <w:p>
      <w:pPr>
        <w:ind w:left="1040" w:hanging="573"/>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dollars generated from maturing assets and operating cash flow;</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change in advances and match funded advances compared to the change in match funded liabilities; and</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unused borrowing capacity.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2011, $648,988 of our total maximum borrowing capacity remained unused. We maintain unused borrowing capacity for three reasons:</w:t>
      </w:r>
    </w:p>
    <w:p>
      <w:pPr>
        <w:spacing w:after="0" w:line="275" w:lineRule="exact"/>
        <w:rPr>
          <w:sz w:val="20"/>
          <w:szCs w:val="20"/>
          <w:color w:val="auto"/>
        </w:rPr>
      </w:pPr>
    </w:p>
    <w:p>
      <w:pPr>
        <w:ind w:left="1040" w:hanging="573"/>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a protection should advances increase due to increased delinquencies;</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a protection should we be unable to either renew existing facilities or obtain new facilities; and</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capacity for the acquisition of additional servicing rights.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464" w:gutter="0" w:footer="0" w:header="0"/>
        </w:sectPr>
      </w:pPr>
    </w:p>
    <w:bookmarkStart w:id="44" w:name="page45"/>
    <w:bookmarkEnd w:id="44"/>
    <w:p>
      <w:pPr>
        <w:ind w:firstLine="324"/>
        <w:spacing w:after="0" w:line="274" w:lineRule="auto"/>
        <w:rPr>
          <w:sz w:val="20"/>
          <w:szCs w:val="20"/>
          <w:color w:val="auto"/>
        </w:rPr>
      </w:pPr>
      <w:r>
        <w:rPr>
          <w:rFonts w:ascii="Arial" w:cs="Arial" w:eastAsia="Arial" w:hAnsi="Arial"/>
          <w:sz w:val="17"/>
          <w:szCs w:val="17"/>
          <w:b w:val="1"/>
          <w:bCs w:val="1"/>
          <w:color w:val="auto"/>
        </w:rPr>
        <w:t xml:space="preserve">Outlook. </w:t>
      </w:r>
      <w:r>
        <w:rPr>
          <w:rFonts w:ascii="Arial" w:cs="Arial" w:eastAsia="Arial" w:hAnsi="Arial"/>
          <w:sz w:val="17"/>
          <w:szCs w:val="17"/>
          <w:color w:val="auto"/>
        </w:rPr>
        <w:t>As also noted in the Overview – Liquidity Summary section, in order to reduce interest expense, we are reducing unused borrowing capacity to</w:t>
      </w:r>
      <w:r>
        <w:rPr>
          <w:rFonts w:ascii="Arial" w:cs="Arial" w:eastAsia="Arial" w:hAnsi="Arial"/>
          <w:sz w:val="17"/>
          <w:szCs w:val="17"/>
          <w:b w:val="1"/>
          <w:bCs w:val="1"/>
          <w:color w:val="auto"/>
        </w:rPr>
        <w:t xml:space="preserve"> </w:t>
      </w:r>
      <w:r>
        <w:rPr>
          <w:rFonts w:ascii="Arial" w:cs="Arial" w:eastAsia="Arial" w:hAnsi="Arial"/>
          <w:sz w:val="17"/>
          <w:szCs w:val="17"/>
          <w:color w:val="auto"/>
        </w:rPr>
        <w:t>a level that we consider prudent relative to the current levels of advances and to meet our funding needs for reasonably foreseeable changes in advances. In the second quarter of 2011, we terminated one underutilized match funded advance facility and reduced the size of another. We also monitor the duration of our funding sources. With the increase in the term of our funding sources, we have better matched the duration of our advances and corresponding borrowings and further reduced the relative cost of up-front facility fees and expenses. Our $330,000 of TALF issuances and $507,986 HomEq facility, which is funded with three-year term notes, account for 80% of our outstanding advance financing at June 30, 2011.</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the first six months of 2011, we:</w:t>
      </w:r>
    </w:p>
    <w:p>
      <w:pPr>
        <w:spacing w:after="0" w:line="256" w:lineRule="exact"/>
        <w:rPr>
          <w:sz w:val="20"/>
          <w:szCs w:val="20"/>
          <w:color w:val="auto"/>
        </w:rPr>
      </w:pPr>
    </w:p>
    <w:p>
      <w:pPr>
        <w:ind w:left="1040" w:right="400" w:hanging="573"/>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February 2011, extended the amortization date of a variable funding note with a maximum borrowing capacity of $300,000 to February 2012;</w:t>
      </w:r>
    </w:p>
    <w:p>
      <w:pPr>
        <w:spacing w:after="0" w:line="170" w:lineRule="exact"/>
        <w:rPr>
          <w:rFonts w:ascii="Arial" w:cs="Arial" w:eastAsia="Arial" w:hAnsi="Arial"/>
          <w:sz w:val="18"/>
          <w:szCs w:val="18"/>
          <w:color w:val="auto"/>
        </w:rPr>
      </w:pPr>
    </w:p>
    <w:p>
      <w:pPr>
        <w:ind w:left="1040" w:right="500" w:hanging="573"/>
        <w:spacing w:after="0" w:line="342"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June 30, 2011, extended the amortization date of a second facility from June 30, 2011 to July 2013, reduced the maximum borrowing capacity from $500,000 to $265,000 and reduced the annual facility fee from 1.3% of the maximum borrowing capacity to 1%;</w:t>
      </w:r>
    </w:p>
    <w:p>
      <w:pPr>
        <w:spacing w:after="0" w:line="123" w:lineRule="exact"/>
        <w:rPr>
          <w:rFonts w:ascii="Arial" w:cs="Arial" w:eastAsia="Arial" w:hAnsi="Arial"/>
          <w:sz w:val="16"/>
          <w:szCs w:val="16"/>
          <w:color w:val="auto"/>
        </w:rPr>
      </w:pPr>
    </w:p>
    <w:p>
      <w:pPr>
        <w:ind w:left="1040" w:right="540" w:hanging="573"/>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June 30, 2011, terminated an advance financing facility with a maximum borrowing capacity of $100,000 and repaid the outstanding balance;</w:t>
      </w:r>
    </w:p>
    <w:p>
      <w:pPr>
        <w:spacing w:after="0" w:line="170" w:lineRule="exact"/>
        <w:rPr>
          <w:rFonts w:ascii="Arial" w:cs="Arial" w:eastAsia="Arial" w:hAnsi="Arial"/>
          <w:sz w:val="18"/>
          <w:szCs w:val="18"/>
          <w:color w:val="auto"/>
        </w:rPr>
      </w:pPr>
    </w:p>
    <w:p>
      <w:pPr>
        <w:ind w:left="1040" w:hanging="573"/>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Repaid $303,014 of the HomEq advance facility term notes; and</w:t>
      </w:r>
    </w:p>
    <w:p>
      <w:pPr>
        <w:spacing w:after="0" w:line="225" w:lineRule="exact"/>
        <w:rPr>
          <w:rFonts w:ascii="Arial" w:cs="Arial" w:eastAsia="Arial" w:hAnsi="Arial"/>
          <w:sz w:val="18"/>
          <w:szCs w:val="18"/>
          <w:color w:val="auto"/>
        </w:rPr>
      </w:pPr>
    </w:p>
    <w:p>
      <w:pPr>
        <w:ind w:left="1040" w:hanging="573"/>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Repaid the remaining $197,500 balance of the senior secured term loan, including $180,000 of voluntary repayments.</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Maximum borrowing capacity for match funded advances decreased by $718,014 from $2,409,000 at December 31, 2010 to $1,690,986 at June 30, 2011. This decline is a result of the Advance Receivable Backed Note Series 2010-1 note entering its amortization period; the pay down on the term notes issued in connection with the HomEq Acquisition reducing potential borrowing on those notes; the reduction in maximum borrowing capacity on one facility from $500,000 to $265,000; and the termination of another facility with a maximum borrowing capacity of $100,000. The Series 2010-1 note will continue to be repaid at the rate of $40,000 per quarter. Our unused advance borrowing capacity decreased from $926,471 at December 31, 2010 to $648,988 at June 30, 2011 as the decline in capacity resulting from the pay down of the Series 2010-1 note, reduction in maximum borrowing capacity on one facility and the termination of another facility outpaced the decline in borrowing.</w:t>
      </w:r>
    </w:p>
    <w:p>
      <w:pPr>
        <w:spacing w:after="0" w:line="205"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Our ability to finance servicing advances is a significant factor that affects our liquidity. Two of our match funded advance facilities are subject to increases in the financing discount if deemed necessary by the rating agencies in order to maintain the minimum rating required for the facility. While Fitch has placed the notes under our Advance Receivable Backed Note Series on negative watch, we do not expect future advance rate changes to have a material effect on our liquidity. Our ability to continue to pledge collateral under each advance facility depends on the performance of the collateral. Currently, the large majority of our collateral qualifies for financing under the advance facility to which it is pledged.</w:t>
      </w:r>
    </w:p>
    <w:p>
      <w:pPr>
        <w:spacing w:after="0" w:line="20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discussed in Note 22 to the Interim Consolidated Financial Statements and in the Overview – Strategic Priorities section, recent inquiries into servicer foreclosure processes could result in actions by state or federal governmental bodies, regulators or the courts that could result in a further extension of foreclosure timelines. While the effect of such extensions could be an increase in advances, the effect on liquidity will be lessened if Ocwen maintains its ability to utilize spare capacity on its advance facilities because approximately 75% of the increase in advances could be borrowed. Alternatively, if foreclosure moratoria are issued in a manner that brings into question the timely recovery of advances on foreclosed properties, Ocwen may no longer be obligated to make further advances and may be able to recover existing advances in certain securitizations from pool-level collections which could mitigate any advance increase. The extension of foreclosure timelines has, thus far, been more than offset by increases in other forms of resolution, and advances have continued to decline. Absent significant changes in the foreclosure process, we expect advances to continue to decline.</w:t>
      </w:r>
    </w:p>
    <w:p>
      <w:pPr>
        <w:spacing w:after="0" w:line="19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are currently in compliance with these covenants and do not expect them to restrict our activities.</w:t>
      </w:r>
    </w:p>
    <w:p>
      <w:pPr>
        <w:spacing w:after="0" w:line="21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Through voluntary repayments on top of mandatory quarterly installments of $8,750, we repaid in full our borrowings under the senior secured term loan during the first six months of 2011. We made the prepayments in order to absorb excess liquidity and to reduce interest costs. While we fully repaid the senior secured term loan in the second quarter, we expect to enter into an agreement for a new senior secured term loan to finance the acquisition of Litton Loan Servicing LP that will have similar covenants to the prior senior secured term loan.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5" w:name="page46"/>
    <w:bookmarkEnd w:id="45"/>
    <w:p>
      <w:pPr>
        <w:ind w:right="100" w:firstLine="324"/>
        <w:spacing w:after="0" w:line="298" w:lineRule="auto"/>
        <w:rPr>
          <w:sz w:val="20"/>
          <w:szCs w:val="20"/>
          <w:color w:val="auto"/>
        </w:rPr>
      </w:pPr>
      <w:r>
        <w:rPr>
          <w:rFonts w:ascii="Arial" w:cs="Arial" w:eastAsia="Arial" w:hAnsi="Arial"/>
          <w:sz w:val="16"/>
          <w:szCs w:val="16"/>
          <w:b w:val="1"/>
          <w:bCs w:val="1"/>
          <w:color w:val="auto"/>
        </w:rPr>
        <w:t xml:space="preserve">Cash flows for the six months ended June 30, 2011. </w:t>
      </w:r>
      <w:r>
        <w:rPr>
          <w:rFonts w:ascii="Arial" w:cs="Arial" w:eastAsia="Arial" w:hAnsi="Arial"/>
          <w:sz w:val="16"/>
          <w:szCs w:val="16"/>
          <w:color w:val="auto"/>
        </w:rPr>
        <w:t>Our operating activities provided $630,384 of cash primarily due to collections of servicing</w:t>
      </w:r>
      <w:r>
        <w:rPr>
          <w:rFonts w:ascii="Arial" w:cs="Arial" w:eastAsia="Arial" w:hAnsi="Arial"/>
          <w:sz w:val="16"/>
          <w:szCs w:val="16"/>
          <w:b w:val="1"/>
          <w:bCs w:val="1"/>
          <w:color w:val="auto"/>
        </w:rPr>
        <w:t xml:space="preserve"> </w:t>
      </w:r>
      <w:r>
        <w:rPr>
          <w:rFonts w:ascii="Arial" w:cs="Arial" w:eastAsia="Arial" w:hAnsi="Arial"/>
          <w:sz w:val="16"/>
          <w:szCs w:val="16"/>
          <w:color w:val="auto"/>
        </w:rPr>
        <w:t>advances on the HomEq Servicing portfolio and net income (adjusted for amortization and other non-cash items). In addition to the $518,493 of advance and match funded advance collections, balances required to be maintained in interest-earning debt service accounts declined by $32,578 because of the repayments on the related match funded borrowings. Also, amounts to be recovered from the custodial accounts of trustees declined by $20,278. Operating cash flows were used principally to repay borrowings under advance financing facilities and the $350,000 senior secured term loan.</w:t>
      </w:r>
    </w:p>
    <w:p>
      <w:pPr>
        <w:spacing w:after="0" w:line="18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investing activities provided $1,423 of cash during the six months ended June 30, 2011. We received $1,639 of distributions from our asset management entities and $3,512 from loans restricted for securitization investors during the first six months of 2011. This was partly offset by an investment of $3,025 in Correspondent One.</w:t>
      </w:r>
    </w:p>
    <w:p>
      <w:pPr>
        <w:spacing w:after="0" w:line="208"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Our financing activities used $655,436 of cash, principally from operating cash flows, as the collections of advances allowed us to make net repayments of $440,531 against match funded liabilities. In addition, we were able to repay the $197,500 remaining balance of our high-cost borrowing under the senior secured term loan, including the prepayment of $180,000. We also paid the second annual installment of $10,754 on our $60,000 fee reimbursement advance.</w:t>
      </w:r>
    </w:p>
    <w:p>
      <w:pPr>
        <w:spacing w:after="0" w:line="170"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Cash flows for the six months ended June 30, 2010</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operating activities provided $360,795 of cash primarily due to our liquidation of auction rate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net collections of servicing advances. Trading activities provided $168,453 of cash from sales, settlements and redemptions of auction rate securities. Excluding the advances acquired in connection with the $6.9 billion residential servicing portfolio we acquired in the second quarter from Saxon, advances declined $153,997. Also, servicing liabilities declined by $36,702.</w:t>
      </w:r>
    </w:p>
    <w:p>
      <w:pPr>
        <w:spacing w:after="0" w:line="21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investing activities used $547,351 of cash during the first six months of 2010. During the second quarter of 2010, we paid $23,425 to purchase MSRs and acquired $528,882 of advances and other assets in connection with the Saxon Acquisition. We also received $2,146 of distributions from our asset management entities.</w:t>
      </w:r>
    </w:p>
    <w:p>
      <w:pPr>
        <w:spacing w:after="0" w:line="20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financing activities provided $239,023 of cash primarily consisting of $369,481 of net proceeds from match funded liabilities of our Servicing business. We also received proceeds of $96,657 from collateralized financing transactions involving auction rate securities and recognized these transactions as secured borrowings. This was partially offset, as we repaid the investment line of $156,968, reduced the borrowings collateralized by auction rate securities by $40,504 and purchased Capital Trust Securities with a face value of $13,010 for $11,659. We also paid the first annual installment of $12,000 on our $60,000 fee reimbursement advance.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Such contractual obligations include our Convertible Notes, Capital Trust Securities, lines of credit and other secured borrowings, interest payments and operating leases. See Note 22 to the Interim Consolidated Financial Statements for additional information regarding 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consolidated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214"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15 to our Interim Consolidated Financial Statements for additional information regarding derivatives.</w:t>
      </w:r>
    </w:p>
    <w:p>
      <w:pPr>
        <w:spacing w:after="0" w:line="20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9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securitizations of mortgage loans were structured as sales. The SPEs to which we transferred the mortgage loans were qualifying special purpose entities (QSPEs) and, therefore under previous accounting rules, were not subject to consolidation through 2009. We have retained both subordinated and residual interests in these SPEs. Effective January 1, 2010, the accounting standards were amended to eliminate the concept of a QSPE. We reevaluated these QSPEs as well as all other potentially significant interests in other unconsolidated entities to determine if we should include them in our consolidated financial statements. We determined that four of these loan securitization trusts are VIEs and that we are the primary beneficiary. We have included these four trusts in our consolidated financial statements effective January 1, 2010.</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6" w:name="page47"/>
    <w:bookmarkEnd w:id="46"/>
    <w:p>
      <w:pPr>
        <w:ind w:right="120" w:firstLine="324"/>
        <w:spacing w:after="0" w:line="297" w:lineRule="auto"/>
        <w:rPr>
          <w:sz w:val="20"/>
          <w:szCs w:val="20"/>
          <w:color w:val="auto"/>
        </w:rPr>
      </w:pPr>
      <w:r>
        <w:rPr>
          <w:rFonts w:ascii="Arial" w:cs="Arial" w:eastAsia="Arial" w:hAnsi="Arial"/>
          <w:sz w:val="16"/>
          <w:szCs w:val="16"/>
          <w:color w:val="auto"/>
        </w:rPr>
        <w:t>We generally use match funded securitization facilities to finance our servicing advances. The SPEs to which the advances are transferred in the securitization transaction are included in our consolidated financial statements either because we have the majority equity interest in the SPE or because we are the primary beneficiary where the SPE is also a VIE. The holders of the debt of these SPEs can look only to the assets of the SPEs for satisfaction of the debt and have no recourse against OCN. However, OLS has guaranteed the payment of the obligations of the issuer under one of our match funded facilities. The maximum amount payable under the guarantee is limited to 10% of the notes outstanding at the end of the facility’s revolving period on July 1, 2013.</w:t>
      </w:r>
    </w:p>
    <w:p>
      <w:pPr>
        <w:spacing w:after="0" w:line="18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In addition to certain of our financing SPEs, we have invested in several other VIEs primarily in connection with purchases of whole loans. If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that we are the primary beneficiary of a VIE, we report the VIE in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Listed below are recently issued accounting pronouncements that we have not yet adopted. These pronouncements are not expected to have a material impact on our Consolidated Financial Statements. For additional information regarding these pronouncements, see Note 2 to our Interim Consolidated Financial Statements.</w:t>
      </w:r>
    </w:p>
    <w:p>
      <w:pPr>
        <w:spacing w:after="0" w:line="20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ASU 2011-02 (ASC 310, Receivables): A Creditor’s Determination of Whether a Restructuring Is a Troubled Debt Restructuring. </w:t>
      </w:r>
      <w:r>
        <w:rPr>
          <w:rFonts w:ascii="Arial" w:cs="Arial" w:eastAsia="Arial" w:hAnsi="Arial"/>
          <w:sz w:val="18"/>
          <w:szCs w:val="18"/>
          <w:color w:val="auto"/>
        </w:rPr>
        <w:t>The amendments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ASU clarify the guidance on a creditor’s determination of whether a restructuring or modification of a receivable meets the criteria to be considered a troubled debt restructuring. If the restructuring is considered a troubled debt restructuring, creditors are required to make certain disclosures in their financial statements and the calculation of the allowance for credit losses for that receivable follows the impairment guidance specific to impaired receivables. The amendments in this ASU are effective for the first interim or annual period beginning on or after June 15, 2011, and should be applied retrospectively to the beginning of the annual period of adoption.</w:t>
      </w:r>
    </w:p>
    <w:p>
      <w:pPr>
        <w:spacing w:after="0" w:line="22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i w:val="1"/>
          <w:iCs w:val="1"/>
          <w:color w:val="auto"/>
        </w:rPr>
        <w:t>ASU 2011-03 (ASC 860, Transfers and Servicing): Reconsideration of Effective Control for Repurchase Agreements</w:t>
      </w:r>
      <w:r>
        <w:rPr>
          <w:rFonts w:ascii="Arial" w:cs="Arial" w:eastAsia="Arial" w:hAnsi="Arial"/>
          <w:sz w:val="17"/>
          <w:szCs w:val="17"/>
          <w:color w:val="auto"/>
        </w:rPr>
        <w:t>. Repurchase agreements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as secured financings if the transferee has not surrendered control over the transferred assets. The amendments in this ASU remove from the assessment of effective control the criterion relating to the transferor’s ability to repurchase or redeem financial assets on substantially the agreed terms, even in the event of default by the transferee. The amendments in this ASU also eliminate the requirement to demonstrate that the transferor possesses adequate collateral to fund substantially all the cost of purchasing replacement financial assets. The guidance in this ASU is effective for the first interim or annual period beginning on or after December 15, 2011, with early adoption prohibited.</w:t>
      </w:r>
    </w:p>
    <w:p>
      <w:pPr>
        <w:spacing w:after="0" w:line="205"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i w:val="1"/>
          <w:iCs w:val="1"/>
          <w:color w:val="auto"/>
        </w:rPr>
        <w:t>ASU 2011-04 (ASC 820, Fair Value Measurement): Amendments to Achieve Common Fair Value Measurement and Disclosure Requirements in U.S. GAAP and IFRSs</w:t>
      </w:r>
      <w:r>
        <w:rPr>
          <w:rFonts w:ascii="Arial" w:cs="Arial" w:eastAsia="Arial" w:hAnsi="Arial"/>
          <w:sz w:val="16"/>
          <w:szCs w:val="16"/>
          <w:color w:val="auto"/>
        </w:rPr>
        <w:t>. The amendments in this ASU explain how to measure fair value. They do not require additional fair value measurements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establish valuation standards or affect valuation practices outside of financial reporting. The amendments clarify FASB’s intent about the application of existing fair value measurement and disclosure requirements and prescribe certain additional disclosures about fair value measurements. The provisions of this ASU are effective for interim and annual periods beginning on or after December 15, 2011, with early adoption prohibited.</w:t>
      </w:r>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ASU 2011-05 (ASC 220, Comprehensive Income): Presentation of Comprehensive Income</w:t>
      </w:r>
      <w:r>
        <w:rPr>
          <w:rFonts w:ascii="Arial" w:cs="Arial" w:eastAsia="Arial" w:hAnsi="Arial"/>
          <w:sz w:val="18"/>
          <w:szCs w:val="18"/>
          <w:color w:val="auto"/>
        </w:rPr>
        <w:t>, Current U.S. GAAP allows reporting entities three alternatives</w:t>
      </w:r>
      <w:r>
        <w:rPr>
          <w:rFonts w:ascii="Arial" w:cs="Arial" w:eastAsia="Arial" w:hAnsi="Arial"/>
          <w:sz w:val="18"/>
          <w:szCs w:val="18"/>
          <w:i w:val="1"/>
          <w:iCs w:val="1"/>
          <w:color w:val="auto"/>
        </w:rPr>
        <w:t xml:space="preserve"> </w:t>
      </w:r>
      <w:r>
        <w:rPr>
          <w:rFonts w:ascii="Arial" w:cs="Arial" w:eastAsia="Arial" w:hAnsi="Arial"/>
          <w:sz w:val="18"/>
          <w:szCs w:val="18"/>
          <w:color w:val="auto"/>
        </w:rPr>
        <w:t>for presenting other comprehensive income and its components in financial statements. One of those presentation options is to present the components of other comprehensive income as part of the statement of changes in stockholders’ equity. This ASU eliminates that option. This ASU also requires consecutive presentation of the statement of net income and other comprehensive income and requires an entity to present reclassification adjustments from other comprehensive income to net income on the face of the financial statements. The provisions of this ASU are effective for interim and annual periods beginning after December 15, 2011.</w:t>
      </w:r>
    </w:p>
    <w:p>
      <w:pPr>
        <w:spacing w:after="0" w:line="220"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 addition to the recently issued accounting pronouncements listed above that we have not yet adopted, listed below are accounting pronouncements we recently adopted that did not have a material affect but resulted in additional disclosures in the notes to our Consolidated Financial Statements.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ind w:right="120" w:firstLine="324"/>
        <w:spacing w:after="0" w:line="259" w:lineRule="auto"/>
        <w:rPr>
          <w:sz w:val="20"/>
          <w:szCs w:val="20"/>
          <w:color w:val="auto"/>
        </w:rPr>
      </w:pPr>
      <w:r>
        <w:rPr>
          <w:rFonts w:ascii="Arial" w:cs="Arial" w:eastAsia="Arial" w:hAnsi="Arial"/>
          <w:sz w:val="18"/>
          <w:szCs w:val="18"/>
          <w:i w:val="1"/>
          <w:iCs w:val="1"/>
          <w:color w:val="auto"/>
        </w:rPr>
        <w:t>ASU No. 2010-06 (ASC 820, Fair Value Measurements and Disclosures): Improving Disclosures about Fair Value Measurements</w:t>
      </w:r>
      <w:r>
        <w:rPr>
          <w:rFonts w:ascii="Arial" w:cs="Arial" w:eastAsia="Arial" w:hAnsi="Arial"/>
          <w:sz w:val="18"/>
          <w:szCs w:val="18"/>
          <w:color w:val="auto"/>
        </w:rPr>
        <w:t>. ASU 2010-06 revised</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disclosure requirements concerning fair value measurements. Effective for the period ended March 31, 2011, the presentation of purchases, sales, issuances and settlements within Level 3 are required to be presented on a gross rather than net basis. See Note 4 to our Interim Consolidated Financial Statements for our fair value disclosures related to financial instruments.</w:t>
      </w:r>
    </w:p>
    <w:p>
      <w:pPr>
        <w:spacing w:after="0" w:line="21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i w:val="1"/>
          <w:iCs w:val="1"/>
          <w:color w:val="auto"/>
        </w:rPr>
        <w:t>ASU No. 2010-20 (ASC 310, Receivables)</w:t>
      </w:r>
      <w:r>
        <w:rPr>
          <w:rFonts w:ascii="Arial" w:cs="Arial" w:eastAsia="Arial" w:hAnsi="Arial"/>
          <w:sz w:val="17"/>
          <w:szCs w:val="17"/>
          <w:color w:val="auto"/>
        </w:rPr>
        <w:t>:</w:t>
      </w:r>
      <w:r>
        <w:rPr>
          <w:rFonts w:ascii="Arial" w:cs="Arial" w:eastAsia="Arial" w:hAnsi="Arial"/>
          <w:sz w:val="17"/>
          <w:szCs w:val="17"/>
          <w:i w:val="1"/>
          <w:iCs w:val="1"/>
          <w:color w:val="auto"/>
        </w:rPr>
        <w:t xml:space="preserve"> Disclosures about the Credit Quality of Financing Receivables and the Allowance for Credit Losses</w:t>
      </w:r>
      <w:r>
        <w:rPr>
          <w:rFonts w:ascii="Arial" w:cs="Arial" w:eastAsia="Arial" w:hAnsi="Arial"/>
          <w:sz w:val="17"/>
          <w:szCs w:val="17"/>
          <w:color w:val="auto"/>
        </w:rPr>
        <w:t>. ASU</w:t>
      </w:r>
      <w:r>
        <w:rPr>
          <w:rFonts w:ascii="Arial" w:cs="Arial" w:eastAsia="Arial" w:hAnsi="Arial"/>
          <w:sz w:val="17"/>
          <w:szCs w:val="17"/>
          <w:i w:val="1"/>
          <w:iCs w:val="1"/>
          <w:color w:val="auto"/>
        </w:rPr>
        <w:t xml:space="preserve"> </w:t>
      </w:r>
      <w:r>
        <w:rPr>
          <w:rFonts w:ascii="Arial" w:cs="Arial" w:eastAsia="Arial" w:hAnsi="Arial"/>
          <w:sz w:val="17"/>
          <w:szCs w:val="17"/>
          <w:color w:val="auto"/>
        </w:rPr>
        <w:t>2010-20 requires disclosure of disaggregated information for both the financing receivables and the related allowance for credit losses. The disclosure requirements specifically do not apply to trade receivables with contractual maturities of one year or less that arose from the sale of goods or services, except for credit card receivables. The disclosure requirements also do not apply to mortgage banking activities, including the long-term servicing of loans, and certain disclosures are not required for receivables measured at the lower of cost or market. The disclosures about activity that occurred during a reporting period, such as the allowance rollforward and modification disclosures became effective for our financial statements for the interim period beginning January 1, 2011. See Note 9 to our Interim Consolidated Financial Statements for our disclosures related to receivables.</w:t>
      </w:r>
    </w:p>
    <w:p>
      <w:pPr>
        <w:spacing w:after="0" w:line="20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 (DOLLARS IN THOUSANDS)</w:t>
      </w:r>
    </w:p>
    <w:p>
      <w:pPr>
        <w:spacing w:after="0" w:line="2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Market risk includes liquidity risk, interest rate risk and foreign currency exchange rate risk. Market risk also reflects the risk of declines in the valuation of financial instruments and the collateral underlying loans. Our Investment Committee reviews significant transactions that may impact market risk and is authorized to utilize a wide variety of techniques and strategies to manage market risk including, in particular, interest rate and foreign currency exchange rate risk.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5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exposed to liquidity risk primarily because of the cash required to support the Servicing business includes the requirement to make advances pursuant to servicing contracts. In general, we finance our operations through operating cash flow, match funding agreements and secured borrowings. See the Overview - Liquidity Summary and Liquidity and Capital Resources sections for additional discussion of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As explained in the Overview – Interest Rate Risk Summary section, interest rate risk is a function of (i) the timing and (ii) the dollar amount of assets and liabilities that re-price at each point in time. Based on June 30, 2011 balances, if interest rates increase by 1% on our variable-rate advance financing and interest earning cash and float balances, we estimate a net positive impact of approximately $5,431 resulting from an increase of $5,012 in annual interest income and a decrease of $419 in annual interest expense. The decrease in interest expense is due in large part to our hedging activities.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EAF9E8"/>
          </w:tcPr>
          <w:p>
            <w:pPr>
              <w:spacing w:after="0"/>
              <w:rPr>
                <w:sz w:val="20"/>
                <w:szCs w:val="20"/>
                <w:color w:val="auto"/>
              </w:rPr>
            </w:pPr>
            <w:r>
              <w:rPr>
                <w:rFonts w:ascii="Arial" w:cs="Arial" w:eastAsia="Arial" w:hAnsi="Arial"/>
                <w:sz w:val="18"/>
                <w:szCs w:val="18"/>
                <w:color w:val="auto"/>
              </w:rPr>
              <w:t>Total borrowings outstanding (1)(2)</w:t>
            </w:r>
          </w:p>
        </w:tc>
        <w:tc>
          <w:tcPr>
            <w:tcW w:w="18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1,171,468</w:t>
            </w: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Fixed-rate borrowings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448,554</w:t>
            </w:r>
          </w:p>
        </w:tc>
      </w:tr>
      <w:tr>
        <w:trPr>
          <w:trHeight w:val="216"/>
        </w:trPr>
        <w:tc>
          <w:tcPr>
            <w:tcW w:w="20" w:type="dxa"/>
            <w:vAlign w:val="bottom"/>
          </w:tcPr>
          <w:p>
            <w:pPr>
              <w:spacing w:after="0"/>
              <w:rPr>
                <w:sz w:val="18"/>
                <w:szCs w:val="18"/>
                <w:color w:val="auto"/>
              </w:rPr>
            </w:pPr>
          </w:p>
        </w:tc>
        <w:tc>
          <w:tcPr>
            <w:tcW w:w="7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Variable-rate borrowings</w:t>
            </w:r>
          </w:p>
        </w:tc>
        <w:tc>
          <w:tcPr>
            <w:tcW w:w="15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722,914</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Float balances (held in custodial accounts, excluded from our consolidated balance sheet)</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397,000</w:t>
            </w:r>
          </w:p>
        </w:tc>
      </w:tr>
      <w:tr>
        <w:trPr>
          <w:trHeight w:val="216"/>
        </w:trPr>
        <w:tc>
          <w:tcPr>
            <w:tcW w:w="20" w:type="dxa"/>
            <w:vAlign w:val="bottom"/>
          </w:tcPr>
          <w:p>
            <w:pPr>
              <w:spacing w:after="0"/>
              <w:rPr>
                <w:sz w:val="18"/>
                <w:szCs w:val="18"/>
                <w:color w:val="auto"/>
              </w:rPr>
            </w:pPr>
          </w:p>
        </w:tc>
        <w:tc>
          <w:tcPr>
            <w:tcW w:w="796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of interest rate swaps (3)</w:t>
            </w:r>
          </w:p>
        </w:tc>
        <w:tc>
          <w:tcPr>
            <w:tcW w:w="15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765,604</w:t>
            </w:r>
          </w:p>
        </w:tc>
      </w:tr>
    </w:tbl>
    <w:p>
      <w:pPr>
        <w:spacing w:after="0" w:line="229" w:lineRule="exact"/>
        <w:rPr>
          <w:sz w:val="20"/>
          <w:szCs w:val="20"/>
          <w:color w:val="auto"/>
        </w:rPr>
      </w:pPr>
    </w:p>
    <w:p>
      <w:pPr>
        <w:ind w:left="580" w:hanging="572"/>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any related discount on borrowings.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Secured borrowings – owed to securitization investors.</w:t>
      </w:r>
    </w:p>
    <w:p>
      <w:pPr>
        <w:spacing w:after="0" w:line="225" w:lineRule="exact"/>
        <w:rPr>
          <w:rFonts w:ascii="Arial" w:cs="Arial" w:eastAsia="Arial" w:hAnsi="Arial"/>
          <w:sz w:val="18"/>
          <w:szCs w:val="18"/>
          <w:color w:val="auto"/>
        </w:rPr>
      </w:pPr>
    </w:p>
    <w:p>
      <w:pPr>
        <w:ind w:left="580" w:right="160" w:hanging="572"/>
        <w:spacing w:after="0" w:line="264"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interest rate swaps entered into to hedge our exposure to rising interest rates on two variable-rate match funded advance facilities with a combined outstanding balance of $670,825 at June 30, 2011. Excludes the interest rate swap held by one of the securitization trusts that we began to include in our consolidated financials statements effective January 1, 2010.</w:t>
      </w:r>
    </w:p>
    <w:p>
      <w:pPr>
        <w:spacing w:after="0" w:line="20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Excluding Loans, net – restricted for securitization investors, our Consolidated Balance Sheet at June 30, 2011 included interest-earning assets totaling $154,879. Interest-earning assets are comprised of $50,766 of interest-earning cash accounts, $53,656 of debt service accounts, $23,193 of loans held for resale and $27,264 of interest-earning collateral accounts.</w:t>
      </w:r>
    </w:p>
    <w:p>
      <w:pPr>
        <w:spacing w:after="0" w:line="208"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We exclude Loans – restricted for securitization investors and Secured borrowings – owed to securitization investors from the analysis of rate-sensitive assets and liabilities. The interest rate sensitive assets and liabilities of the consolidated trusts do not represent an interest rate risk for Ocwen. Ocwen has no obligation to provide financial support to the trusts. The creditors of the trusts can look only to the assets of the trusts themselves for satisfaction of the debt and have no recourse against the assets of Ocwen. Similarly, the general creditors of Ocwen have no claim on the assets of the trusts. Our exposure to loss is limited to the carrying values of our investments in the residual and subordinate securities of the trusts. See Note 1 to our Interim Consolidated Financial Statements—Securitizations of Residential Mortgage Loans for additional information.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are exposed to foreign currency exchange rate risk in connection with our investment in non-U.S. dollar functional currency operations to the extent that our foreign exchange positions remain unhedged. Our operations in Uruguay and India expose us to foreign currency exchange rate risk, but we do not consider this risk significant. During the second quarter of 2010, we entered into foreign exchange forward contracts to hedge against the effect of changes in the value of the India Rupee on recurring amounts payable to our India subsidiary, OFSPL, for services rendered to U.S. affiliates. We did not designate these contracts as hedges. We did not renew or replace these contracts upon their expiration in April 2011.</w:t>
      </w:r>
    </w:p>
    <w:p>
      <w:pPr>
        <w:spacing w:after="0" w:line="19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Our management, under the supervision of and with the participation of our Chief Executive Officer and Chief Financial Officer, evaluated the effectiveness of our disclosure controls and procedures (as defined in Rules 13a-15(e) and 15d-15(e) under the Securities Exchange Act) as of June 30, 2011. Based on this evaluation, our Chief Executive Officer and Chief Financial Officer concluded that, as of June 30, 2011, our disclosure controls and procedures</w:t>
      </w:r>
    </w:p>
    <w:p>
      <w:pPr>
        <w:ind w:firstLine="8"/>
        <w:spacing w:after="0" w:line="252"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221"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Securities Exchange Act) occurred during the fiscal quarter ended June 30, 2011 that has materially affected, or is reasonably likely to materially affect, our internal control over financial reporting.</w:t>
      </w:r>
    </w:p>
    <w:p>
      <w:pPr>
        <w:spacing w:after="0" w:line="204"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22—Commitments and Contingencies to the Interim Consolidated Financial Statements for information regarding legal proceedings.</w:t>
      </w:r>
    </w:p>
    <w:p>
      <w:pPr>
        <w:spacing w:after="0" w:line="26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include a discussion of the principal risks and uncertainties that affect or could affect our business operations under Item 1A on pages 15 through 22 of our Annual Report on Form 10-K for the year ended December 31, 2010.</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9840" w:type="dxa"/>
            <w:vAlign w:val="bottom"/>
          </w:tcPr>
          <w:p>
            <w:pPr>
              <w:ind w:left="220"/>
              <w:spacing w:after="0"/>
              <w:rPr>
                <w:sz w:val="20"/>
                <w:szCs w:val="20"/>
                <w:color w:val="auto"/>
              </w:rPr>
            </w:pPr>
            <w:r>
              <w:rPr>
                <w:rFonts w:ascii="Arial" w:cs="Arial" w:eastAsia="Arial" w:hAnsi="Arial"/>
                <w:sz w:val="18"/>
                <w:szCs w:val="18"/>
                <w:color w:val="auto"/>
                <w:w w:val="89"/>
              </w:rPr>
              <w:t>Purchase Agreement dated as of June 5, 2011, by and between The Goldman Sachs Group, Inc. and Ocwen Financial Corporation (1)</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9840" w:type="dxa"/>
            <w:vAlign w:val="bottom"/>
          </w:tcPr>
          <w:p>
            <w:pPr>
              <w:ind w:left="220"/>
              <w:spacing w:after="0"/>
              <w:rPr>
                <w:sz w:val="20"/>
                <w:szCs w:val="20"/>
                <w:color w:val="auto"/>
              </w:rPr>
            </w:pPr>
            <w:r>
              <w:rPr>
                <w:rFonts w:ascii="Arial" w:cs="Arial" w:eastAsia="Arial" w:hAnsi="Arial"/>
                <w:sz w:val="18"/>
                <w:szCs w:val="18"/>
                <w:color w:val="auto"/>
              </w:rPr>
              <w:t>Bylaws of Ocwen Financial Corporation (2)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9840" w:type="dxa"/>
            <w:vAlign w:val="bottom"/>
          </w:tcPr>
          <w:p>
            <w:pPr>
              <w:ind w:left="220"/>
              <w:spacing w:after="0"/>
              <w:rPr>
                <w:sz w:val="20"/>
                <w:szCs w:val="20"/>
                <w:color w:val="auto"/>
              </w:rPr>
            </w:pPr>
            <w:r>
              <w:rPr>
                <w:rFonts w:ascii="Arial" w:cs="Arial" w:eastAsia="Arial" w:hAnsi="Arial"/>
                <w:sz w:val="18"/>
                <w:szCs w:val="18"/>
                <w:color w:val="auto"/>
              </w:rPr>
              <w:t>Bylaws of Ocwen Financial Corporation (2)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11.1</w:t>
            </w:r>
          </w:p>
        </w:tc>
        <w:tc>
          <w:tcPr>
            <w:tcW w:w="9840" w:type="dxa"/>
            <w:vAlign w:val="bottom"/>
          </w:tcPr>
          <w:p>
            <w:pPr>
              <w:ind w:left="220"/>
              <w:spacing w:after="0"/>
              <w:rPr>
                <w:sz w:val="20"/>
                <w:szCs w:val="20"/>
                <w:color w:val="auto"/>
              </w:rPr>
            </w:pPr>
            <w:r>
              <w:rPr>
                <w:rFonts w:ascii="Arial" w:cs="Arial" w:eastAsia="Arial" w:hAnsi="Arial"/>
                <w:sz w:val="18"/>
                <w:szCs w:val="18"/>
                <w:color w:val="auto"/>
              </w:rPr>
              <w:t>Computation of earnings per share (2)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984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9840" w:type="dxa"/>
            <w:vAlign w:val="bottom"/>
          </w:tcPr>
          <w:p>
            <w:pPr>
              <w:ind w:left="2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9840" w:type="dxa"/>
            <w:vAlign w:val="bottom"/>
          </w:tcPr>
          <w:p>
            <w:pPr>
              <w:ind w:left="220"/>
              <w:spacing w:after="0"/>
              <w:rPr>
                <w:sz w:val="20"/>
                <w:szCs w:val="20"/>
                <w:color w:val="auto"/>
              </w:rPr>
            </w:pPr>
            <w:r>
              <w:rPr>
                <w:rFonts w:ascii="Arial" w:cs="Arial" w:eastAsia="Arial" w:hAnsi="Arial"/>
                <w:sz w:val="18"/>
                <w:szCs w:val="18"/>
                <w:color w:val="auto"/>
                <w:w w:val="91"/>
              </w:rPr>
              <w:t>Certification of the Chief Executive Officer pursuant to 18 U.S.C. Section 1350, as adopted pursuant to Section 906 of the Sarbanes-</w:t>
            </w:r>
          </w:p>
        </w:tc>
      </w:tr>
      <w:tr>
        <w:trPr>
          <w:trHeight w:val="216"/>
        </w:trPr>
        <w:tc>
          <w:tcPr>
            <w:tcW w:w="920" w:type="dxa"/>
            <w:vAlign w:val="bottom"/>
          </w:tcPr>
          <w:p>
            <w:pPr>
              <w:spacing w:after="0"/>
              <w:rPr>
                <w:sz w:val="18"/>
                <w:szCs w:val="18"/>
                <w:color w:val="auto"/>
              </w:rPr>
            </w:pPr>
          </w:p>
        </w:tc>
        <w:tc>
          <w:tcPr>
            <w:tcW w:w="9840" w:type="dxa"/>
            <w:vAlign w:val="bottom"/>
          </w:tcPr>
          <w:p>
            <w:pPr>
              <w:ind w:left="220"/>
              <w:spacing w:after="0"/>
              <w:rPr>
                <w:sz w:val="20"/>
                <w:szCs w:val="20"/>
                <w:color w:val="auto"/>
              </w:rPr>
            </w:pPr>
            <w:r>
              <w:rPr>
                <w:rFonts w:ascii="Arial" w:cs="Arial" w:eastAsia="Arial" w:hAnsi="Arial"/>
                <w:sz w:val="18"/>
                <w:szCs w:val="18"/>
                <w:color w:val="auto"/>
              </w:rPr>
              <w:t>Oxley Act of 2002 (filed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9840" w:type="dxa"/>
            <w:vAlign w:val="bottom"/>
          </w:tcPr>
          <w:p>
            <w:pPr>
              <w:ind w:left="22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w:t>
            </w:r>
          </w:p>
        </w:tc>
      </w:tr>
      <w:tr>
        <w:trPr>
          <w:trHeight w:val="216"/>
        </w:trPr>
        <w:tc>
          <w:tcPr>
            <w:tcW w:w="920" w:type="dxa"/>
            <w:vAlign w:val="bottom"/>
          </w:tcPr>
          <w:p>
            <w:pPr>
              <w:spacing w:after="0"/>
              <w:rPr>
                <w:sz w:val="18"/>
                <w:szCs w:val="18"/>
                <w:color w:val="auto"/>
              </w:rPr>
            </w:pPr>
          </w:p>
        </w:tc>
        <w:tc>
          <w:tcPr>
            <w:tcW w:w="9840" w:type="dxa"/>
            <w:vAlign w:val="bottom"/>
          </w:tcPr>
          <w:p>
            <w:pPr>
              <w:ind w:left="220"/>
              <w:spacing w:after="0"/>
              <w:rPr>
                <w:sz w:val="20"/>
                <w:szCs w:val="20"/>
                <w:color w:val="auto"/>
              </w:rPr>
            </w:pPr>
            <w:r>
              <w:rPr>
                <w:rFonts w:ascii="Arial" w:cs="Arial" w:eastAsia="Arial" w:hAnsi="Arial"/>
                <w:sz w:val="18"/>
                <w:szCs w:val="18"/>
                <w:color w:val="auto"/>
              </w:rPr>
              <w:t>Oxley Act of 2002 (filed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tcPr>
          <w:p>
            <w:pPr>
              <w:ind w:left="220"/>
              <w:spacing w:after="0"/>
              <w:rPr>
                <w:sz w:val="20"/>
                <w:szCs w:val="20"/>
                <w:color w:val="auto"/>
              </w:rPr>
            </w:pPr>
            <w:r>
              <w:rPr>
                <w:rFonts w:ascii="Arial" w:cs="Arial" w:eastAsia="Arial" w:hAnsi="Arial"/>
                <w:sz w:val="18"/>
                <w:szCs w:val="18"/>
                <w:color w:val="auto"/>
              </w:rPr>
              <w:t>XBRL Instance Document (furnished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(furnished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(furnished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(furnished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(furnished herewith)</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with the SEC on June 6, 2011.</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Exhibit 3.1 of the Registrant’s Form 8-K filed with the SEC on August 1, 2011.</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from Note 18—Basic and Diluted Earnings per Share to the Interim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50" w:name="page51"/>
    <w:bookmarkEnd w:id="50"/>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OCWEN FINANCIAL CORPORATION</w:t>
      </w:r>
    </w:p>
    <w:p>
      <w:pPr>
        <w:spacing w:after="0" w:line="229" w:lineRule="exact"/>
        <w:rPr>
          <w:sz w:val="20"/>
          <w:szCs w:val="20"/>
          <w:color w:val="auto"/>
        </w:rPr>
      </w:pPr>
    </w:p>
    <w:p>
      <w:pPr>
        <w:spacing w:after="0"/>
        <w:tabs>
          <w:tab w:leader="none" w:pos="5240" w:val="left"/>
          <w:tab w:leader="none" w:pos="5700" w:val="left"/>
        </w:tabs>
        <w:rPr>
          <w:sz w:val="20"/>
          <w:szCs w:val="20"/>
          <w:color w:val="auto"/>
        </w:rPr>
      </w:pPr>
      <w:r>
        <w:rPr>
          <w:rFonts w:ascii="Arial" w:cs="Arial" w:eastAsia="Arial" w:hAnsi="Arial"/>
          <w:sz w:val="18"/>
          <w:szCs w:val="18"/>
          <w:color w:val="auto"/>
        </w:rPr>
        <w:t>Date: August 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Van Vlack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John Van Vlack,</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(On behalf of the Registrant and as its principal financial officer)</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52"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60" w:hanging="572"/>
        <w:spacing w:after="0" w:line="291"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w:t>
      </w:r>
    </w:p>
    <w:p>
      <w:pPr>
        <w:ind w:left="580"/>
        <w:spacing w:after="0"/>
        <w:rPr>
          <w:rFonts w:ascii="Arial" w:cs="Arial" w:eastAsia="Arial" w:hAnsi="Arial"/>
          <w:sz w:val="16"/>
          <w:szCs w:val="16"/>
          <w:color w:val="auto"/>
        </w:rPr>
      </w:pPr>
      <w:r>
        <w:rPr>
          <w:rFonts w:ascii="Arial" w:cs="Arial" w:eastAsia="Arial" w:hAnsi="Arial"/>
          <w:sz w:val="18"/>
          <w:szCs w:val="18"/>
          <w:color w:val="auto"/>
        </w:rPr>
        <w:t>– 15(f)) for the registrant and have:</w:t>
      </w:r>
    </w:p>
    <w:p>
      <w:pPr>
        <w:spacing w:after="0" w:line="211" w:lineRule="exact"/>
        <w:rPr>
          <w:sz w:val="20"/>
          <w:szCs w:val="20"/>
          <w:color w:val="auto"/>
        </w:rPr>
      </w:pPr>
    </w:p>
    <w:p>
      <w:pPr>
        <w:ind w:left="1160" w:right="60" w:hanging="571"/>
        <w:spacing w:after="0" w:line="264" w:lineRule="auto"/>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right="460" w:hanging="571"/>
        <w:spacing w:after="0" w:line="264" w:lineRule="auto"/>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60" w:hanging="572"/>
        <w:spacing w:after="0" w:line="308"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August 4, 2011</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25298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Ronald M. Faris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Van Vlack, certify that:</w:t>
      </w:r>
    </w:p>
    <w:p>
      <w:pPr>
        <w:spacing w:after="0" w:line="252"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60" w:hanging="572"/>
        <w:spacing w:after="0" w:line="291" w:lineRule="auto"/>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w:t>
      </w:r>
    </w:p>
    <w:p>
      <w:pPr>
        <w:ind w:left="580"/>
        <w:spacing w:after="0"/>
        <w:rPr>
          <w:rFonts w:ascii="Arial" w:cs="Arial" w:eastAsia="Arial" w:hAnsi="Arial"/>
          <w:sz w:val="16"/>
          <w:szCs w:val="16"/>
          <w:color w:val="auto"/>
        </w:rPr>
      </w:pPr>
      <w:r>
        <w:rPr>
          <w:rFonts w:ascii="Arial" w:cs="Arial" w:eastAsia="Arial" w:hAnsi="Arial"/>
          <w:sz w:val="18"/>
          <w:szCs w:val="18"/>
          <w:color w:val="auto"/>
        </w:rPr>
        <w:t>– 15(f)) for the registrant and have:</w:t>
      </w:r>
    </w:p>
    <w:p>
      <w:pPr>
        <w:spacing w:after="0" w:line="211" w:lineRule="exact"/>
        <w:rPr>
          <w:sz w:val="20"/>
          <w:szCs w:val="20"/>
          <w:color w:val="auto"/>
        </w:rPr>
      </w:pPr>
    </w:p>
    <w:p>
      <w:pPr>
        <w:ind w:left="1160" w:right="60" w:hanging="571"/>
        <w:spacing w:after="0" w:line="264"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right="460" w:hanging="571"/>
        <w:spacing w:after="0" w:line="264"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60" w:hanging="572"/>
        <w:spacing w:after="0" w:line="308" w:lineRule="auto"/>
        <w:tabs>
          <w:tab w:leader="none" w:pos="5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August 4, 2011</w:t>
      </w:r>
      <w:r>
        <w:rPr>
          <w:sz w:val="20"/>
          <w:szCs w:val="20"/>
          <w:color w:val="auto"/>
        </w:rPr>
        <w:tab/>
      </w:r>
      <w:r>
        <w:rPr>
          <w:rFonts w:ascii="Arial" w:cs="Arial" w:eastAsia="Arial" w:hAnsi="Arial"/>
          <w:sz w:val="16"/>
          <w:szCs w:val="16"/>
          <w:color w:val="auto"/>
        </w:rPr>
        <w:t>/s/ John Van Vlack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252984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Van Vlack,</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OF THE SARBANES 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52"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1160" w:right="220" w:hanging="571"/>
        <w:spacing w:after="0" w:line="264" w:lineRule="auto"/>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2011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1160" w:right="200" w:hanging="571"/>
        <w:spacing w:after="0" w:line="277" w:lineRule="auto"/>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c>
          <w:tcPr>
            <w:tcW w:w="4560" w:type="dxa"/>
            <w:vAlign w:val="bottom"/>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President and Chief Executive Officer</w:t>
            </w:r>
          </w:p>
        </w:tc>
        <w:tc>
          <w:tcPr>
            <w:tcW w:w="456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spacing w:after="0"/>
              <w:rPr>
                <w:sz w:val="20"/>
                <w:szCs w:val="20"/>
                <w:color w:val="auto"/>
              </w:rPr>
            </w:pPr>
            <w:r>
              <w:rPr>
                <w:rFonts w:ascii="Arial" w:cs="Arial" w:eastAsia="Arial" w:hAnsi="Arial"/>
                <w:sz w:val="18"/>
                <w:szCs w:val="18"/>
                <w:color w:val="auto"/>
              </w:rPr>
              <w:t>August 4, 2011</w:t>
            </w:r>
          </w:p>
        </w:tc>
        <w:tc>
          <w:tcPr>
            <w:tcW w:w="4560" w:type="dxa"/>
            <w:vAlign w:val="bottom"/>
          </w:tcPr>
          <w:p>
            <w:pPr>
              <w:spacing w:after="0"/>
              <w:rPr>
                <w:sz w:val="20"/>
                <w:szCs w:val="20"/>
                <w:color w:val="auto"/>
              </w:rPr>
            </w:pPr>
          </w:p>
        </w:tc>
      </w:tr>
      <w:tr>
        <w:trPr>
          <w:trHeight w:val="659"/>
        </w:trPr>
        <w:tc>
          <w:tcPr>
            <w:tcW w:w="116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Van Vlack, state and attest that:</w:t>
      </w:r>
    </w:p>
    <w:p>
      <w:pPr>
        <w:spacing w:after="0" w:line="252"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1160" w:right="220" w:hanging="571"/>
        <w:spacing w:after="0" w:line="264" w:lineRule="auto"/>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2011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1160" w:right="200" w:hanging="571"/>
        <w:spacing w:after="0" w:line="277" w:lineRule="auto"/>
        <w:tabs>
          <w:tab w:leader="none" w:pos="11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Name:</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Van Vlack</w:t>
            </w:r>
          </w:p>
        </w:tc>
        <w:tc>
          <w:tcPr>
            <w:tcW w:w="4560" w:type="dxa"/>
            <w:vAlign w:val="bottom"/>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5700" w:type="dxa"/>
            <w:vAlign w:val="bottom"/>
          </w:tcPr>
          <w:p>
            <w:pPr>
              <w:spacing w:after="0" w:line="201" w:lineRule="exact"/>
              <w:rPr>
                <w:sz w:val="20"/>
                <w:szCs w:val="20"/>
                <w:color w:val="auto"/>
              </w:rPr>
            </w:pPr>
            <w:r>
              <w:rPr>
                <w:rFonts w:ascii="Arial" w:cs="Arial" w:eastAsia="Arial" w:hAnsi="Arial"/>
                <w:sz w:val="18"/>
                <w:szCs w:val="18"/>
                <w:color w:val="auto"/>
              </w:rPr>
              <w:t>Executive Vice President, Chief Financial Officer and</w:t>
            </w:r>
          </w:p>
        </w:tc>
        <w:tc>
          <w:tcPr>
            <w:tcW w:w="456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45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spacing w:after="0"/>
              <w:rPr>
                <w:sz w:val="20"/>
                <w:szCs w:val="20"/>
                <w:color w:val="auto"/>
              </w:rPr>
            </w:pPr>
            <w:r>
              <w:rPr>
                <w:rFonts w:ascii="Arial" w:cs="Arial" w:eastAsia="Arial" w:hAnsi="Arial"/>
                <w:sz w:val="18"/>
                <w:szCs w:val="18"/>
                <w:color w:val="auto"/>
              </w:rPr>
              <w:t>August 4, 2011</w:t>
            </w:r>
          </w:p>
        </w:tc>
        <w:tc>
          <w:tcPr>
            <w:tcW w:w="4560" w:type="dxa"/>
            <w:vAlign w:val="bottom"/>
          </w:tcPr>
          <w:p>
            <w:pPr>
              <w:spacing w:after="0"/>
              <w:rPr>
                <w:sz w:val="20"/>
                <w:szCs w:val="20"/>
                <w:color w:val="auto"/>
              </w:rPr>
            </w:pPr>
          </w:p>
        </w:tc>
      </w:tr>
      <w:tr>
        <w:trPr>
          <w:trHeight w:val="659"/>
        </w:trPr>
        <w:tc>
          <w:tcPr>
            <w:tcW w:w="116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lowerRoman"/>
      <w:start w:val="2"/>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7"/>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3"/>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2"/>
    </w:lvl>
  </w:abstractNum>
  <w:abstractNum w:abstractNumId="24">
    <w:nsid w:val="5E884ADC"/>
    <w:multiLevelType w:val="hybridMultilevel"/>
    <w:lvl w:ilvl="0">
      <w:lvlJc w:val="left"/>
      <w:lvlText w:val="(%1)"/>
      <w:numFmt w:val="decimal"/>
      <w:start w:val="4"/>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3"/>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1"/>
    </w:lvl>
    <w:lvl w:ilvl="1">
      <w:lvlJc w:val="left"/>
      <w:lvlText w:val="(%2)"/>
      <w:numFmt w:val="lowerLetter"/>
      <w:start w:val="1"/>
    </w:lvl>
  </w:abstractNum>
  <w:abstractNum w:abstractNumId="47">
    <w:nsid w:val="3DC240FB"/>
    <w:multiLevelType w:val="hybridMultilevel"/>
    <w:lvl w:ilvl="0">
      <w:lvlJc w:val="left"/>
      <w:lvlText w:val="%1."/>
      <w:numFmt w:val="decimal"/>
      <w:start w:val="5"/>
    </w:lvl>
    <w:lvl w:ilvl="1">
      <w:lvlJc w:val="left"/>
      <w:lvlText w:val="(%2)"/>
      <w:numFmt w:val="lowerLetter"/>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5"/>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
      <w:numFmt w:val="bullet"/>
      <w:start w:val="1"/>
    </w:lvl>
  </w:abstractNum>
  <w:abstractNum w:abstractNumId="52">
    <w:nsid w:val="70C6A529"/>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2019-12-10T10:47:44Z</dcterms:created>
  <dcterms:modified xsi:type="dcterms:W3CDTF">2019-12-10T10:47:44Z</dcterms:modified>
</cp:coreProperties>
</file>